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BAF1" w14:textId="77777777" w:rsidR="008A0CED" w:rsidRPr="00D84EFF" w:rsidRDefault="008A0CED" w:rsidP="008A0CED">
      <w:pPr>
        <w:pStyle w:val="Heading1"/>
        <w:rPr>
          <w:b/>
          <w:bCs/>
          <w:vanish/>
          <w:sz w:val="44"/>
          <w:szCs w:val="44"/>
          <w:specVanish/>
        </w:rPr>
      </w:pPr>
      <w:bookmarkStart w:id="0" w:name="_Toc193464439"/>
      <w:r w:rsidRPr="00D84EFF">
        <w:rPr>
          <w:b/>
          <w:bCs/>
          <w:sz w:val="44"/>
          <w:szCs w:val="44"/>
        </w:rPr>
        <w:t>Row Level summaries:</w:t>
      </w:r>
      <w:bookmarkEnd w:id="0"/>
    </w:p>
    <w:p w14:paraId="5422984D" w14:textId="77777777" w:rsidR="008A0CED" w:rsidRPr="00D84EFF" w:rsidRDefault="008A0CED" w:rsidP="008A0CED">
      <w:pPr>
        <w:spacing w:afterLines="80" w:after="192" w:line="312" w:lineRule="auto"/>
        <w:rPr>
          <w:b/>
          <w:bCs/>
          <w:sz w:val="44"/>
          <w:szCs w:val="44"/>
          <w:lang w:val="en-IN"/>
        </w:rPr>
      </w:pPr>
      <w:r>
        <w:rPr>
          <w:b/>
          <w:bCs/>
          <w:sz w:val="44"/>
          <w:szCs w:val="44"/>
          <w:lang w:val="en-IN"/>
        </w:rPr>
        <w:t xml:space="preserve"> </w:t>
      </w:r>
    </w:p>
    <w:p w14:paraId="4E399943" w14:textId="77777777" w:rsidR="008A0CED" w:rsidRDefault="008A0CED" w:rsidP="008A0CED">
      <w:pPr>
        <w:spacing w:afterLines="80" w:after="192" w:line="312" w:lineRule="auto"/>
        <w:rPr>
          <w:lang w:val="en-IN"/>
        </w:rPr>
      </w:pPr>
      <w:r w:rsidRPr="00CA20BB">
        <w:rPr>
          <w:lang w:val="en-IN"/>
        </w:rPr>
        <w:t>Among the 27 subcategories across six main categories, we identified key areas for row-level summaries</w:t>
      </w:r>
      <w:r>
        <w:rPr>
          <w:lang w:val="en-IN"/>
        </w:rPr>
        <w:t xml:space="preserve">. </w:t>
      </w:r>
    </w:p>
    <w:p w14:paraId="12B990A2" w14:textId="77777777" w:rsidR="008A0CED" w:rsidRPr="00CA20BB" w:rsidRDefault="008A0CED" w:rsidP="008A0CED">
      <w:pPr>
        <w:spacing w:afterLines="80" w:after="192" w:line="312" w:lineRule="auto"/>
        <w:rPr>
          <w:lang w:val="en-IN"/>
        </w:rPr>
      </w:pPr>
    </w:p>
    <w:p w14:paraId="73EE62E7" w14:textId="77777777" w:rsidR="008A0CED" w:rsidRDefault="008A0CED" w:rsidP="008A0CED">
      <w:pPr>
        <w:pStyle w:val="Heading3"/>
      </w:pPr>
      <w:bookmarkStart w:id="1" w:name="_Toc193464440"/>
      <w:r w:rsidRPr="00D84EFF">
        <w:rPr>
          <w:b/>
          <w:bCs/>
        </w:rPr>
        <w:t>Safe Environment- Disarmament, Demobilization, and Reintegration (DDR)</w:t>
      </w:r>
      <w:bookmarkEnd w:id="1"/>
      <w:r w:rsidRPr="00D84EFF">
        <w:rPr>
          <w:b/>
          <w:bCs/>
        </w:rPr>
        <w:t xml:space="preserve"> </w:t>
      </w:r>
      <w:r w:rsidRPr="00CA20BB">
        <w:br/>
      </w:r>
    </w:p>
    <w:p w14:paraId="1B551FC5" w14:textId="77777777" w:rsidR="008A0CED" w:rsidRDefault="008A0CED" w:rsidP="008A0CED">
      <w:pPr>
        <w:rPr>
          <w:b/>
          <w:bCs/>
        </w:rPr>
      </w:pPr>
      <w:r>
        <w:rPr>
          <w:b/>
          <w:bCs/>
        </w:rPr>
        <w:t>Row summary</w:t>
      </w:r>
    </w:p>
    <w:p w14:paraId="2BB0991E" w14:textId="77777777" w:rsidR="008A0CED" w:rsidRDefault="008A0CED" w:rsidP="008A0CED">
      <w:pPr>
        <w:rPr>
          <w:b/>
          <w:bCs/>
        </w:rPr>
      </w:pPr>
    </w:p>
    <w:p w14:paraId="30EED17E" w14:textId="77777777" w:rsidR="008A0CED" w:rsidRDefault="008A0CED" w:rsidP="008A0CED">
      <w:pPr>
        <w:rPr>
          <w:b/>
          <w:bCs/>
        </w:rPr>
      </w:pPr>
      <w:r>
        <w:rPr>
          <w:b/>
          <w:bCs/>
        </w:rPr>
        <w:t>D</w:t>
      </w:r>
      <w:r w:rsidRPr="00822FB5">
        <w:rPr>
          <w:b/>
          <w:bCs/>
        </w:rPr>
        <w:t>isarmament, demobilization and reintegration of ex-combatants and peace support/keeping operations</w:t>
      </w:r>
    </w:p>
    <w:p w14:paraId="54E78E16" w14:textId="77777777" w:rsidR="008A0CED" w:rsidRDefault="008A0CED" w:rsidP="008A0CED"/>
    <w:p w14:paraId="5242CE7D" w14:textId="77777777" w:rsidR="008A0CED" w:rsidRDefault="008A0CED" w:rsidP="008A0CED">
      <w:pPr>
        <w:rPr>
          <w:rFonts w:eastAsia="Times New Roman"/>
          <w:color w:val="333333"/>
          <w:lang w:eastAsia="en-GB"/>
        </w:rPr>
      </w:pPr>
      <w:r>
        <w:t xml:space="preserve">Peacekeeping is most effective in establishing stability which allows delivery of services, including a functioning justice system, which usually not possible during conflict.  </w:t>
      </w:r>
      <w:r w:rsidRPr="00640736">
        <w:rPr>
          <w:rFonts w:eastAsia="Times New Roman"/>
          <w:color w:val="333333"/>
          <w:lang w:eastAsia="en-GB"/>
        </w:rPr>
        <w:t>Access to justice, rights and public services</w:t>
      </w:r>
      <w:r>
        <w:rPr>
          <w:rFonts w:eastAsia="Times New Roman"/>
          <w:color w:val="333333"/>
          <w:lang w:eastAsia="en-GB"/>
        </w:rPr>
        <w:t xml:space="preserve"> is the only outcome with a large positive effect.</w:t>
      </w:r>
    </w:p>
    <w:p w14:paraId="67F86BD9" w14:textId="77777777" w:rsidR="008A0CED" w:rsidRDefault="008A0CED" w:rsidP="008A0CED">
      <w:pPr>
        <w:rPr>
          <w:rFonts w:eastAsia="Times New Roman"/>
          <w:color w:val="333333"/>
          <w:lang w:eastAsia="en-GB"/>
        </w:rPr>
      </w:pPr>
    </w:p>
    <w:p w14:paraId="404E46E3" w14:textId="77777777" w:rsidR="008A0CED" w:rsidRPr="006F5757" w:rsidRDefault="008A0CED" w:rsidP="008A0CED">
      <w:pPr>
        <w:rPr>
          <w:b/>
          <w:bCs/>
        </w:rPr>
      </w:pPr>
      <w:r>
        <w:rPr>
          <w:rFonts w:eastAsia="Times New Roman"/>
          <w:color w:val="333333"/>
          <w:lang w:eastAsia="en-GB"/>
        </w:rPr>
        <w:t xml:space="preserve">Peacekeeping also supports a achieving a peaceful dispute resolution – though this depends on providing mediation together with peacekeeping. </w:t>
      </w:r>
      <w:r w:rsidRPr="00640736">
        <w:rPr>
          <w:rFonts w:eastAsia="Times New Roman"/>
          <w:color w:val="333333"/>
          <w:lang w:eastAsia="en-GB"/>
        </w:rPr>
        <w:t>Diplomatic relations &amp; peaceful dispute resolution</w:t>
      </w:r>
      <w:r>
        <w:rPr>
          <w:rFonts w:eastAsia="Times New Roman"/>
          <w:color w:val="333333"/>
          <w:lang w:eastAsia="en-GB"/>
        </w:rPr>
        <w:t xml:space="preserve"> and t</w:t>
      </w:r>
      <w:r w:rsidRPr="00640736">
        <w:rPr>
          <w:rFonts w:eastAsia="Times New Roman"/>
          <w:color w:val="333333"/>
          <w:lang w:eastAsia="en-GB"/>
        </w:rPr>
        <w:t>ransitions of power</w:t>
      </w:r>
      <w:r>
        <w:rPr>
          <w:rFonts w:eastAsia="Times New Roman"/>
          <w:color w:val="333333"/>
          <w:lang w:eastAsia="en-GB"/>
        </w:rPr>
        <w:t xml:space="preserve"> both have moderate positive effects.</w:t>
      </w:r>
    </w:p>
    <w:p w14:paraId="16025141" w14:textId="77777777" w:rsidR="008A0CED" w:rsidRDefault="008A0CED" w:rsidP="008A0CED"/>
    <w:p w14:paraId="71F3D578" w14:textId="77777777" w:rsidR="008A0CED" w:rsidRPr="0080081F" w:rsidRDefault="008A0CED" w:rsidP="008A0CED">
      <w:pPr>
        <w:rPr>
          <w:b/>
          <w:bCs/>
        </w:rPr>
      </w:pPr>
      <w:r w:rsidRPr="0080081F">
        <w:rPr>
          <w:b/>
          <w:bCs/>
        </w:rPr>
        <w:t xml:space="preserve">Table 4 - Effect sizes from </w:t>
      </w:r>
      <w:r w:rsidRPr="00D84EFF">
        <w:rPr>
          <w:b/>
          <w:bCs/>
          <w:lang w:val="en-IN"/>
        </w:rPr>
        <w:t xml:space="preserve">Disarmament, Demobilization, and Reintegration (DDR) </w:t>
      </w:r>
    </w:p>
    <w:tbl>
      <w:tblPr>
        <w:tblW w:w="8933" w:type="dxa"/>
        <w:tblLook w:val="04A0" w:firstRow="1" w:lastRow="0" w:firstColumn="1" w:lastColumn="0" w:noHBand="0" w:noVBand="1"/>
      </w:tblPr>
      <w:tblGrid>
        <w:gridCol w:w="5387"/>
        <w:gridCol w:w="992"/>
        <w:gridCol w:w="1134"/>
        <w:gridCol w:w="1420"/>
      </w:tblGrid>
      <w:tr w:rsidR="008A0CED" w:rsidRPr="00640736" w14:paraId="3B3D7600" w14:textId="77777777" w:rsidTr="002E5C71">
        <w:trPr>
          <w:trHeight w:val="285"/>
        </w:trPr>
        <w:tc>
          <w:tcPr>
            <w:tcW w:w="5387" w:type="dxa"/>
            <w:tcBorders>
              <w:top w:val="single" w:sz="4" w:space="0" w:color="auto"/>
              <w:left w:val="nil"/>
              <w:bottom w:val="single" w:sz="4" w:space="0" w:color="auto"/>
              <w:right w:val="nil"/>
            </w:tcBorders>
            <w:shd w:val="clear" w:color="000000" w:fill="FFFFFF"/>
            <w:noWrap/>
            <w:hideMark/>
          </w:tcPr>
          <w:p w14:paraId="325158E7" w14:textId="77777777" w:rsidR="008A0CED" w:rsidRPr="00640736" w:rsidRDefault="008A0CED" w:rsidP="002E5C71">
            <w:pPr>
              <w:spacing w:line="240" w:lineRule="auto"/>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Outcome</w:t>
            </w:r>
            <w:r>
              <w:rPr>
                <w:rFonts w:ascii="Aptos Narrow" w:eastAsia="Times New Roman" w:hAnsi="Aptos Narrow" w:cs="Times New Roman"/>
                <w:color w:val="000000"/>
                <w:lang w:eastAsia="en-GB"/>
              </w:rPr>
              <w:t xml:space="preserve"> Category</w:t>
            </w:r>
          </w:p>
        </w:tc>
        <w:tc>
          <w:tcPr>
            <w:tcW w:w="992" w:type="dxa"/>
            <w:tcBorders>
              <w:top w:val="single" w:sz="4" w:space="0" w:color="auto"/>
              <w:left w:val="nil"/>
              <w:bottom w:val="single" w:sz="4" w:space="0" w:color="auto"/>
              <w:right w:val="nil"/>
            </w:tcBorders>
            <w:shd w:val="clear" w:color="000000" w:fill="FFFFFF"/>
            <w:noWrap/>
            <w:hideMark/>
          </w:tcPr>
          <w:p w14:paraId="75CC5694"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Effect size</w:t>
            </w:r>
          </w:p>
        </w:tc>
        <w:tc>
          <w:tcPr>
            <w:tcW w:w="1134" w:type="dxa"/>
            <w:tcBorders>
              <w:top w:val="single" w:sz="4" w:space="0" w:color="auto"/>
              <w:left w:val="nil"/>
              <w:bottom w:val="single" w:sz="4" w:space="0" w:color="auto"/>
              <w:right w:val="nil"/>
            </w:tcBorders>
            <w:shd w:val="clear" w:color="000000" w:fill="FFFFFF"/>
            <w:noWrap/>
            <w:hideMark/>
          </w:tcPr>
          <w:p w14:paraId="3B22629A"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No. of studies</w:t>
            </w:r>
          </w:p>
        </w:tc>
        <w:tc>
          <w:tcPr>
            <w:tcW w:w="1420" w:type="dxa"/>
            <w:tcBorders>
              <w:top w:val="single" w:sz="4" w:space="0" w:color="auto"/>
              <w:left w:val="nil"/>
              <w:bottom w:val="single" w:sz="4" w:space="0" w:color="auto"/>
              <w:right w:val="nil"/>
            </w:tcBorders>
            <w:shd w:val="clear" w:color="000000" w:fill="FFFFFF"/>
            <w:noWrap/>
            <w:hideMark/>
          </w:tcPr>
          <w:p w14:paraId="312D8B15"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No. of effect sizes</w:t>
            </w:r>
          </w:p>
        </w:tc>
      </w:tr>
      <w:tr w:rsidR="008A0CED" w:rsidRPr="00640736" w14:paraId="5696A1D2" w14:textId="77777777" w:rsidTr="002E5C71">
        <w:trPr>
          <w:trHeight w:val="285"/>
        </w:trPr>
        <w:tc>
          <w:tcPr>
            <w:tcW w:w="5387" w:type="dxa"/>
            <w:tcBorders>
              <w:top w:val="single" w:sz="4" w:space="0" w:color="auto"/>
              <w:left w:val="nil"/>
              <w:bottom w:val="nil"/>
              <w:right w:val="nil"/>
            </w:tcBorders>
            <w:shd w:val="clear" w:color="000000" w:fill="FFFFFF"/>
            <w:vAlign w:val="center"/>
            <w:hideMark/>
          </w:tcPr>
          <w:p w14:paraId="3FE4C1E1"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 xml:space="preserve">Access to justice, </w:t>
            </w:r>
            <w:proofErr w:type="gramStart"/>
            <w:r w:rsidRPr="00640736">
              <w:rPr>
                <w:rFonts w:eastAsia="Times New Roman"/>
                <w:color w:val="333333"/>
                <w:lang w:eastAsia="en-GB"/>
              </w:rPr>
              <w:t>rights</w:t>
            </w:r>
            <w:proofErr w:type="gramEnd"/>
            <w:r w:rsidRPr="00640736">
              <w:rPr>
                <w:rFonts w:eastAsia="Times New Roman"/>
                <w:color w:val="333333"/>
                <w:lang w:eastAsia="en-GB"/>
              </w:rPr>
              <w:t xml:space="preserve"> and public services</w:t>
            </w:r>
          </w:p>
        </w:tc>
        <w:tc>
          <w:tcPr>
            <w:tcW w:w="992" w:type="dxa"/>
            <w:tcBorders>
              <w:top w:val="single" w:sz="4" w:space="0" w:color="auto"/>
              <w:left w:val="nil"/>
              <w:bottom w:val="nil"/>
              <w:right w:val="nil"/>
            </w:tcBorders>
            <w:shd w:val="clear" w:color="000000" w:fill="FFFFFF"/>
            <w:vAlign w:val="center"/>
            <w:hideMark/>
          </w:tcPr>
          <w:p w14:paraId="45EEB373"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0.351</w:t>
            </w:r>
          </w:p>
        </w:tc>
        <w:tc>
          <w:tcPr>
            <w:tcW w:w="1134" w:type="dxa"/>
            <w:tcBorders>
              <w:top w:val="single" w:sz="4" w:space="0" w:color="auto"/>
              <w:left w:val="nil"/>
              <w:bottom w:val="nil"/>
              <w:right w:val="nil"/>
            </w:tcBorders>
            <w:shd w:val="clear" w:color="000000" w:fill="FFFFFF"/>
            <w:vAlign w:val="center"/>
            <w:hideMark/>
          </w:tcPr>
          <w:p w14:paraId="71670D0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w:t>
            </w:r>
          </w:p>
        </w:tc>
        <w:tc>
          <w:tcPr>
            <w:tcW w:w="1420" w:type="dxa"/>
            <w:tcBorders>
              <w:top w:val="single" w:sz="4" w:space="0" w:color="auto"/>
              <w:left w:val="nil"/>
              <w:bottom w:val="nil"/>
              <w:right w:val="nil"/>
            </w:tcBorders>
            <w:shd w:val="clear" w:color="000000" w:fill="FFFFFF"/>
            <w:vAlign w:val="center"/>
            <w:hideMark/>
          </w:tcPr>
          <w:p w14:paraId="196BC5F9"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4</w:t>
            </w:r>
          </w:p>
        </w:tc>
      </w:tr>
      <w:tr w:rsidR="008A0CED" w:rsidRPr="00640736" w14:paraId="1890B811" w14:textId="77777777" w:rsidTr="002E5C71">
        <w:trPr>
          <w:trHeight w:val="285"/>
        </w:trPr>
        <w:tc>
          <w:tcPr>
            <w:tcW w:w="5387" w:type="dxa"/>
            <w:tcBorders>
              <w:top w:val="nil"/>
              <w:left w:val="nil"/>
              <w:bottom w:val="nil"/>
              <w:right w:val="nil"/>
            </w:tcBorders>
            <w:shd w:val="clear" w:color="000000" w:fill="FFFFFF"/>
            <w:vAlign w:val="center"/>
            <w:hideMark/>
          </w:tcPr>
          <w:p w14:paraId="6BCAD040"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Diplomatic relations &amp; peaceful dispute resolution</w:t>
            </w:r>
          </w:p>
        </w:tc>
        <w:tc>
          <w:tcPr>
            <w:tcW w:w="992" w:type="dxa"/>
            <w:tcBorders>
              <w:top w:val="nil"/>
              <w:left w:val="nil"/>
              <w:bottom w:val="nil"/>
              <w:right w:val="nil"/>
            </w:tcBorders>
            <w:shd w:val="clear" w:color="000000" w:fill="FFFFFF"/>
            <w:vAlign w:val="center"/>
            <w:hideMark/>
          </w:tcPr>
          <w:p w14:paraId="5EA414B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0.160</w:t>
            </w:r>
          </w:p>
        </w:tc>
        <w:tc>
          <w:tcPr>
            <w:tcW w:w="1134" w:type="dxa"/>
            <w:tcBorders>
              <w:top w:val="nil"/>
              <w:left w:val="nil"/>
              <w:bottom w:val="nil"/>
              <w:right w:val="nil"/>
            </w:tcBorders>
            <w:shd w:val="clear" w:color="000000" w:fill="FFFFFF"/>
            <w:vAlign w:val="center"/>
            <w:hideMark/>
          </w:tcPr>
          <w:p w14:paraId="57BBBF3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8</w:t>
            </w:r>
          </w:p>
        </w:tc>
        <w:tc>
          <w:tcPr>
            <w:tcW w:w="1420" w:type="dxa"/>
            <w:tcBorders>
              <w:top w:val="nil"/>
              <w:left w:val="nil"/>
              <w:bottom w:val="nil"/>
              <w:right w:val="nil"/>
            </w:tcBorders>
            <w:shd w:val="clear" w:color="000000" w:fill="FFFFFF"/>
            <w:vAlign w:val="center"/>
            <w:hideMark/>
          </w:tcPr>
          <w:p w14:paraId="58A3A22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32</w:t>
            </w:r>
          </w:p>
        </w:tc>
      </w:tr>
      <w:tr w:rsidR="008A0CED" w:rsidRPr="00640736" w14:paraId="3BAF3024" w14:textId="77777777" w:rsidTr="002E5C71">
        <w:trPr>
          <w:trHeight w:val="285"/>
        </w:trPr>
        <w:tc>
          <w:tcPr>
            <w:tcW w:w="5387" w:type="dxa"/>
            <w:tcBorders>
              <w:top w:val="nil"/>
              <w:left w:val="nil"/>
              <w:bottom w:val="nil"/>
              <w:right w:val="nil"/>
            </w:tcBorders>
            <w:shd w:val="clear" w:color="000000" w:fill="FFFFFF"/>
            <w:vAlign w:val="center"/>
            <w:hideMark/>
          </w:tcPr>
          <w:p w14:paraId="02F22E5C"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Transitions of power</w:t>
            </w:r>
          </w:p>
        </w:tc>
        <w:tc>
          <w:tcPr>
            <w:tcW w:w="992" w:type="dxa"/>
            <w:tcBorders>
              <w:top w:val="nil"/>
              <w:left w:val="nil"/>
              <w:bottom w:val="nil"/>
              <w:right w:val="nil"/>
            </w:tcBorders>
            <w:shd w:val="clear" w:color="000000" w:fill="FFFFFF"/>
            <w:vAlign w:val="center"/>
            <w:hideMark/>
          </w:tcPr>
          <w:p w14:paraId="1FE92C2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0.138</w:t>
            </w:r>
          </w:p>
        </w:tc>
        <w:tc>
          <w:tcPr>
            <w:tcW w:w="1134" w:type="dxa"/>
            <w:tcBorders>
              <w:top w:val="nil"/>
              <w:left w:val="nil"/>
              <w:bottom w:val="nil"/>
              <w:right w:val="nil"/>
            </w:tcBorders>
            <w:shd w:val="clear" w:color="000000" w:fill="FFFFFF"/>
            <w:vAlign w:val="center"/>
            <w:hideMark/>
          </w:tcPr>
          <w:p w14:paraId="4F4FBEDE"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2</w:t>
            </w:r>
          </w:p>
        </w:tc>
        <w:tc>
          <w:tcPr>
            <w:tcW w:w="1420" w:type="dxa"/>
            <w:tcBorders>
              <w:top w:val="nil"/>
              <w:left w:val="nil"/>
              <w:bottom w:val="nil"/>
              <w:right w:val="nil"/>
            </w:tcBorders>
            <w:shd w:val="clear" w:color="000000" w:fill="FFFFFF"/>
            <w:vAlign w:val="center"/>
            <w:hideMark/>
          </w:tcPr>
          <w:p w14:paraId="415A2E4E"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6</w:t>
            </w:r>
          </w:p>
        </w:tc>
      </w:tr>
      <w:tr w:rsidR="008A0CED" w:rsidRPr="00640736" w14:paraId="57D57CAF" w14:textId="77777777" w:rsidTr="002E5C71">
        <w:trPr>
          <w:trHeight w:val="285"/>
        </w:trPr>
        <w:tc>
          <w:tcPr>
            <w:tcW w:w="5387" w:type="dxa"/>
            <w:tcBorders>
              <w:top w:val="nil"/>
              <w:left w:val="nil"/>
              <w:bottom w:val="nil"/>
              <w:right w:val="nil"/>
            </w:tcBorders>
            <w:shd w:val="clear" w:color="000000" w:fill="FFFFFF"/>
            <w:vAlign w:val="center"/>
            <w:hideMark/>
          </w:tcPr>
          <w:p w14:paraId="4AD6ABB2"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Sense of Belonging</w:t>
            </w:r>
          </w:p>
        </w:tc>
        <w:tc>
          <w:tcPr>
            <w:tcW w:w="992" w:type="dxa"/>
            <w:tcBorders>
              <w:top w:val="nil"/>
              <w:left w:val="nil"/>
              <w:bottom w:val="nil"/>
              <w:right w:val="nil"/>
            </w:tcBorders>
            <w:shd w:val="clear" w:color="000000" w:fill="FFFFFF"/>
            <w:vAlign w:val="center"/>
            <w:hideMark/>
          </w:tcPr>
          <w:p w14:paraId="2885A49B"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0.094</w:t>
            </w:r>
          </w:p>
        </w:tc>
        <w:tc>
          <w:tcPr>
            <w:tcW w:w="1134" w:type="dxa"/>
            <w:tcBorders>
              <w:top w:val="nil"/>
              <w:left w:val="nil"/>
              <w:bottom w:val="nil"/>
              <w:right w:val="nil"/>
            </w:tcBorders>
            <w:shd w:val="clear" w:color="000000" w:fill="FFFFFF"/>
            <w:vAlign w:val="center"/>
            <w:hideMark/>
          </w:tcPr>
          <w:p w14:paraId="2A08991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w:t>
            </w:r>
          </w:p>
        </w:tc>
        <w:tc>
          <w:tcPr>
            <w:tcW w:w="1420" w:type="dxa"/>
            <w:tcBorders>
              <w:top w:val="nil"/>
              <w:left w:val="nil"/>
              <w:bottom w:val="nil"/>
              <w:right w:val="nil"/>
            </w:tcBorders>
            <w:shd w:val="clear" w:color="000000" w:fill="FFFFFF"/>
            <w:vAlign w:val="center"/>
            <w:hideMark/>
          </w:tcPr>
          <w:p w14:paraId="26E5C579"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8</w:t>
            </w:r>
          </w:p>
        </w:tc>
      </w:tr>
      <w:tr w:rsidR="008A0CED" w:rsidRPr="00640736" w14:paraId="323AECFB" w14:textId="77777777" w:rsidTr="002E5C71">
        <w:trPr>
          <w:trHeight w:val="285"/>
        </w:trPr>
        <w:tc>
          <w:tcPr>
            <w:tcW w:w="5387" w:type="dxa"/>
            <w:tcBorders>
              <w:top w:val="nil"/>
              <w:left w:val="nil"/>
              <w:bottom w:val="nil"/>
              <w:right w:val="nil"/>
            </w:tcBorders>
            <w:shd w:val="clear" w:color="000000" w:fill="FFFFFF"/>
            <w:vAlign w:val="center"/>
            <w:hideMark/>
          </w:tcPr>
          <w:p w14:paraId="341D3B96"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Social norms regarding violence and atrocities</w:t>
            </w:r>
          </w:p>
        </w:tc>
        <w:tc>
          <w:tcPr>
            <w:tcW w:w="992" w:type="dxa"/>
            <w:tcBorders>
              <w:top w:val="nil"/>
              <w:left w:val="nil"/>
              <w:bottom w:val="nil"/>
              <w:right w:val="nil"/>
            </w:tcBorders>
            <w:shd w:val="clear" w:color="000000" w:fill="FFFFFF"/>
            <w:vAlign w:val="center"/>
            <w:hideMark/>
          </w:tcPr>
          <w:p w14:paraId="6083C68D"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0.094</w:t>
            </w:r>
          </w:p>
        </w:tc>
        <w:tc>
          <w:tcPr>
            <w:tcW w:w="1134" w:type="dxa"/>
            <w:tcBorders>
              <w:top w:val="nil"/>
              <w:left w:val="nil"/>
              <w:bottom w:val="nil"/>
              <w:right w:val="nil"/>
            </w:tcBorders>
            <w:shd w:val="clear" w:color="000000" w:fill="FFFFFF"/>
            <w:vAlign w:val="center"/>
            <w:hideMark/>
          </w:tcPr>
          <w:p w14:paraId="3A64FFFE"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3</w:t>
            </w:r>
          </w:p>
        </w:tc>
        <w:tc>
          <w:tcPr>
            <w:tcW w:w="1420" w:type="dxa"/>
            <w:tcBorders>
              <w:top w:val="nil"/>
              <w:left w:val="nil"/>
              <w:bottom w:val="nil"/>
              <w:right w:val="nil"/>
            </w:tcBorders>
            <w:shd w:val="clear" w:color="000000" w:fill="FFFFFF"/>
            <w:vAlign w:val="center"/>
            <w:hideMark/>
          </w:tcPr>
          <w:p w14:paraId="4FBD74E9"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7</w:t>
            </w:r>
          </w:p>
        </w:tc>
      </w:tr>
      <w:tr w:rsidR="008A0CED" w:rsidRPr="00640736" w14:paraId="18DFEE31" w14:textId="77777777" w:rsidTr="002E5C71">
        <w:trPr>
          <w:trHeight w:val="285"/>
        </w:trPr>
        <w:tc>
          <w:tcPr>
            <w:tcW w:w="5387" w:type="dxa"/>
            <w:tcBorders>
              <w:top w:val="nil"/>
              <w:left w:val="nil"/>
              <w:bottom w:val="nil"/>
              <w:right w:val="nil"/>
            </w:tcBorders>
            <w:shd w:val="clear" w:color="000000" w:fill="FFFFFF"/>
            <w:vAlign w:val="center"/>
            <w:hideMark/>
          </w:tcPr>
          <w:p w14:paraId="19A226F6"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Educational security</w:t>
            </w:r>
          </w:p>
        </w:tc>
        <w:tc>
          <w:tcPr>
            <w:tcW w:w="992" w:type="dxa"/>
            <w:tcBorders>
              <w:top w:val="nil"/>
              <w:left w:val="nil"/>
              <w:bottom w:val="nil"/>
              <w:right w:val="nil"/>
            </w:tcBorders>
            <w:shd w:val="clear" w:color="000000" w:fill="FFFFFF"/>
            <w:vAlign w:val="center"/>
            <w:hideMark/>
          </w:tcPr>
          <w:p w14:paraId="7CBD73AB"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0.078</w:t>
            </w:r>
          </w:p>
        </w:tc>
        <w:tc>
          <w:tcPr>
            <w:tcW w:w="1134" w:type="dxa"/>
            <w:tcBorders>
              <w:top w:val="nil"/>
              <w:left w:val="nil"/>
              <w:bottom w:val="nil"/>
              <w:right w:val="nil"/>
            </w:tcBorders>
            <w:shd w:val="clear" w:color="000000" w:fill="FFFFFF"/>
            <w:vAlign w:val="center"/>
            <w:hideMark/>
          </w:tcPr>
          <w:p w14:paraId="0B0B7231"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2</w:t>
            </w:r>
          </w:p>
        </w:tc>
        <w:tc>
          <w:tcPr>
            <w:tcW w:w="1420" w:type="dxa"/>
            <w:tcBorders>
              <w:top w:val="nil"/>
              <w:left w:val="nil"/>
              <w:bottom w:val="nil"/>
              <w:right w:val="nil"/>
            </w:tcBorders>
            <w:shd w:val="clear" w:color="000000" w:fill="FFFFFF"/>
            <w:vAlign w:val="center"/>
            <w:hideMark/>
          </w:tcPr>
          <w:p w14:paraId="51287A12"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11</w:t>
            </w:r>
          </w:p>
        </w:tc>
      </w:tr>
      <w:tr w:rsidR="008A0CED" w:rsidRPr="00640736" w14:paraId="3F233611" w14:textId="77777777" w:rsidTr="002E5C71">
        <w:trPr>
          <w:trHeight w:val="285"/>
        </w:trPr>
        <w:tc>
          <w:tcPr>
            <w:tcW w:w="5387" w:type="dxa"/>
            <w:tcBorders>
              <w:top w:val="nil"/>
              <w:left w:val="nil"/>
              <w:bottom w:val="nil"/>
              <w:right w:val="nil"/>
            </w:tcBorders>
            <w:shd w:val="clear" w:color="000000" w:fill="FFFFFF"/>
            <w:vAlign w:val="center"/>
            <w:hideMark/>
          </w:tcPr>
          <w:p w14:paraId="61C1859F"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Food security and nutrition</w:t>
            </w:r>
          </w:p>
        </w:tc>
        <w:tc>
          <w:tcPr>
            <w:tcW w:w="992" w:type="dxa"/>
            <w:tcBorders>
              <w:top w:val="nil"/>
              <w:left w:val="nil"/>
              <w:bottom w:val="nil"/>
              <w:right w:val="nil"/>
            </w:tcBorders>
            <w:shd w:val="clear" w:color="000000" w:fill="FFFFFF"/>
            <w:vAlign w:val="center"/>
            <w:hideMark/>
          </w:tcPr>
          <w:p w14:paraId="58300AF6"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0.070</w:t>
            </w:r>
          </w:p>
        </w:tc>
        <w:tc>
          <w:tcPr>
            <w:tcW w:w="1134" w:type="dxa"/>
            <w:tcBorders>
              <w:top w:val="nil"/>
              <w:left w:val="nil"/>
              <w:bottom w:val="nil"/>
              <w:right w:val="nil"/>
            </w:tcBorders>
            <w:shd w:val="clear" w:color="000000" w:fill="FFFFFF"/>
            <w:vAlign w:val="center"/>
            <w:hideMark/>
          </w:tcPr>
          <w:p w14:paraId="4621764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w:t>
            </w:r>
          </w:p>
        </w:tc>
        <w:tc>
          <w:tcPr>
            <w:tcW w:w="1420" w:type="dxa"/>
            <w:tcBorders>
              <w:top w:val="nil"/>
              <w:left w:val="nil"/>
              <w:bottom w:val="nil"/>
              <w:right w:val="nil"/>
            </w:tcBorders>
            <w:shd w:val="clear" w:color="000000" w:fill="FFFFFF"/>
            <w:vAlign w:val="center"/>
            <w:hideMark/>
          </w:tcPr>
          <w:p w14:paraId="0CC365C0"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6</w:t>
            </w:r>
          </w:p>
        </w:tc>
      </w:tr>
      <w:tr w:rsidR="008A0CED" w:rsidRPr="00640736" w14:paraId="4075EFEB" w14:textId="77777777" w:rsidTr="002E5C71">
        <w:trPr>
          <w:trHeight w:val="285"/>
        </w:trPr>
        <w:tc>
          <w:tcPr>
            <w:tcW w:w="5387" w:type="dxa"/>
            <w:tcBorders>
              <w:top w:val="nil"/>
              <w:left w:val="nil"/>
              <w:bottom w:val="nil"/>
              <w:right w:val="nil"/>
            </w:tcBorders>
            <w:shd w:val="clear" w:color="000000" w:fill="FFFFFF"/>
            <w:vAlign w:val="center"/>
            <w:hideMark/>
          </w:tcPr>
          <w:p w14:paraId="44DDF04F"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Economic security</w:t>
            </w:r>
          </w:p>
        </w:tc>
        <w:tc>
          <w:tcPr>
            <w:tcW w:w="992" w:type="dxa"/>
            <w:tcBorders>
              <w:top w:val="nil"/>
              <w:left w:val="nil"/>
              <w:bottom w:val="nil"/>
              <w:right w:val="nil"/>
            </w:tcBorders>
            <w:shd w:val="clear" w:color="000000" w:fill="FFFFFF"/>
            <w:vAlign w:val="center"/>
            <w:hideMark/>
          </w:tcPr>
          <w:p w14:paraId="1158E124"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0.061</w:t>
            </w:r>
          </w:p>
        </w:tc>
        <w:tc>
          <w:tcPr>
            <w:tcW w:w="1134" w:type="dxa"/>
            <w:tcBorders>
              <w:top w:val="nil"/>
              <w:left w:val="nil"/>
              <w:bottom w:val="nil"/>
              <w:right w:val="nil"/>
            </w:tcBorders>
            <w:shd w:val="clear" w:color="000000" w:fill="FFFFFF"/>
            <w:vAlign w:val="center"/>
            <w:hideMark/>
          </w:tcPr>
          <w:p w14:paraId="19C1DEC6"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7</w:t>
            </w:r>
          </w:p>
        </w:tc>
        <w:tc>
          <w:tcPr>
            <w:tcW w:w="1420" w:type="dxa"/>
            <w:tcBorders>
              <w:top w:val="nil"/>
              <w:left w:val="nil"/>
              <w:bottom w:val="nil"/>
              <w:right w:val="nil"/>
            </w:tcBorders>
            <w:shd w:val="clear" w:color="000000" w:fill="FFFFFF"/>
            <w:vAlign w:val="center"/>
            <w:hideMark/>
          </w:tcPr>
          <w:p w14:paraId="3D8C0A5A"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33</w:t>
            </w:r>
          </w:p>
        </w:tc>
      </w:tr>
      <w:tr w:rsidR="008A0CED" w:rsidRPr="00640736" w14:paraId="5D459998" w14:textId="77777777" w:rsidTr="002E5C71">
        <w:trPr>
          <w:trHeight w:val="285"/>
        </w:trPr>
        <w:tc>
          <w:tcPr>
            <w:tcW w:w="5387" w:type="dxa"/>
            <w:tcBorders>
              <w:top w:val="nil"/>
              <w:left w:val="nil"/>
              <w:bottom w:val="nil"/>
              <w:right w:val="nil"/>
            </w:tcBorders>
            <w:shd w:val="clear" w:color="000000" w:fill="FFFFFF"/>
            <w:vAlign w:val="center"/>
            <w:hideMark/>
          </w:tcPr>
          <w:p w14:paraId="0781E051"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Intermediate social cohesion outcomes</w:t>
            </w:r>
          </w:p>
        </w:tc>
        <w:tc>
          <w:tcPr>
            <w:tcW w:w="992" w:type="dxa"/>
            <w:tcBorders>
              <w:top w:val="nil"/>
              <w:left w:val="nil"/>
              <w:bottom w:val="nil"/>
              <w:right w:val="nil"/>
            </w:tcBorders>
            <w:shd w:val="clear" w:color="000000" w:fill="FFFFFF"/>
            <w:vAlign w:val="center"/>
            <w:hideMark/>
          </w:tcPr>
          <w:p w14:paraId="1C874404"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0.060</w:t>
            </w:r>
          </w:p>
        </w:tc>
        <w:tc>
          <w:tcPr>
            <w:tcW w:w="1134" w:type="dxa"/>
            <w:tcBorders>
              <w:top w:val="nil"/>
              <w:left w:val="nil"/>
              <w:bottom w:val="nil"/>
              <w:right w:val="nil"/>
            </w:tcBorders>
            <w:shd w:val="clear" w:color="000000" w:fill="FFFFFF"/>
            <w:vAlign w:val="center"/>
            <w:hideMark/>
          </w:tcPr>
          <w:p w14:paraId="0C4916F6"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w:t>
            </w:r>
          </w:p>
        </w:tc>
        <w:tc>
          <w:tcPr>
            <w:tcW w:w="1420" w:type="dxa"/>
            <w:tcBorders>
              <w:top w:val="nil"/>
              <w:left w:val="nil"/>
              <w:bottom w:val="nil"/>
              <w:right w:val="nil"/>
            </w:tcBorders>
            <w:shd w:val="clear" w:color="000000" w:fill="FFFFFF"/>
            <w:vAlign w:val="center"/>
            <w:hideMark/>
          </w:tcPr>
          <w:p w14:paraId="6B02961C"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3</w:t>
            </w:r>
          </w:p>
        </w:tc>
      </w:tr>
      <w:tr w:rsidR="008A0CED" w:rsidRPr="00640736" w14:paraId="32D821B1" w14:textId="77777777" w:rsidTr="002E5C71">
        <w:trPr>
          <w:trHeight w:val="285"/>
        </w:trPr>
        <w:tc>
          <w:tcPr>
            <w:tcW w:w="5387" w:type="dxa"/>
            <w:tcBorders>
              <w:top w:val="nil"/>
              <w:left w:val="nil"/>
              <w:bottom w:val="nil"/>
              <w:right w:val="nil"/>
            </w:tcBorders>
            <w:shd w:val="clear" w:color="000000" w:fill="FFFFFF"/>
            <w:noWrap/>
            <w:vAlign w:val="bottom"/>
            <w:hideMark/>
          </w:tcPr>
          <w:p w14:paraId="52224BF0" w14:textId="77777777" w:rsidR="008A0CED" w:rsidRPr="00640736" w:rsidRDefault="008A0CED" w:rsidP="002E5C71">
            <w:pPr>
              <w:spacing w:line="240" w:lineRule="auto"/>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Social cohesion</w:t>
            </w:r>
          </w:p>
        </w:tc>
        <w:tc>
          <w:tcPr>
            <w:tcW w:w="992" w:type="dxa"/>
            <w:tcBorders>
              <w:top w:val="nil"/>
              <w:left w:val="nil"/>
              <w:bottom w:val="nil"/>
              <w:right w:val="nil"/>
            </w:tcBorders>
            <w:shd w:val="clear" w:color="000000" w:fill="FFFFFF"/>
            <w:noWrap/>
            <w:vAlign w:val="bottom"/>
            <w:hideMark/>
          </w:tcPr>
          <w:p w14:paraId="08C8095D"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0.060</w:t>
            </w:r>
          </w:p>
        </w:tc>
        <w:tc>
          <w:tcPr>
            <w:tcW w:w="1134" w:type="dxa"/>
            <w:tcBorders>
              <w:top w:val="nil"/>
              <w:left w:val="nil"/>
              <w:bottom w:val="nil"/>
              <w:right w:val="nil"/>
            </w:tcBorders>
            <w:shd w:val="clear" w:color="000000" w:fill="FFFFFF"/>
            <w:noWrap/>
            <w:vAlign w:val="bottom"/>
            <w:hideMark/>
          </w:tcPr>
          <w:p w14:paraId="7D1BD9B9"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1</w:t>
            </w:r>
          </w:p>
        </w:tc>
        <w:tc>
          <w:tcPr>
            <w:tcW w:w="1420" w:type="dxa"/>
            <w:tcBorders>
              <w:top w:val="nil"/>
              <w:left w:val="nil"/>
              <w:bottom w:val="nil"/>
              <w:right w:val="nil"/>
            </w:tcBorders>
            <w:shd w:val="clear" w:color="000000" w:fill="FFFFFF"/>
            <w:noWrap/>
            <w:vAlign w:val="bottom"/>
            <w:hideMark/>
          </w:tcPr>
          <w:p w14:paraId="307C7D1A"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6</w:t>
            </w:r>
          </w:p>
        </w:tc>
      </w:tr>
      <w:tr w:rsidR="008A0CED" w:rsidRPr="00640736" w14:paraId="3485DCD2" w14:textId="77777777" w:rsidTr="002E5C71">
        <w:trPr>
          <w:trHeight w:val="285"/>
        </w:trPr>
        <w:tc>
          <w:tcPr>
            <w:tcW w:w="5387" w:type="dxa"/>
            <w:tcBorders>
              <w:top w:val="nil"/>
              <w:left w:val="nil"/>
              <w:bottom w:val="nil"/>
              <w:right w:val="nil"/>
            </w:tcBorders>
            <w:shd w:val="clear" w:color="000000" w:fill="FFFFFF"/>
            <w:vAlign w:val="center"/>
            <w:hideMark/>
          </w:tcPr>
          <w:p w14:paraId="28915593"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Nature and scale of violence or atrocities</w:t>
            </w:r>
          </w:p>
        </w:tc>
        <w:tc>
          <w:tcPr>
            <w:tcW w:w="992" w:type="dxa"/>
            <w:tcBorders>
              <w:top w:val="nil"/>
              <w:left w:val="nil"/>
              <w:bottom w:val="nil"/>
              <w:right w:val="nil"/>
            </w:tcBorders>
            <w:shd w:val="clear" w:color="000000" w:fill="FFFFFF"/>
            <w:vAlign w:val="center"/>
            <w:hideMark/>
          </w:tcPr>
          <w:p w14:paraId="6A8CACCF"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0.058</w:t>
            </w:r>
          </w:p>
        </w:tc>
        <w:tc>
          <w:tcPr>
            <w:tcW w:w="1134" w:type="dxa"/>
            <w:tcBorders>
              <w:top w:val="nil"/>
              <w:left w:val="nil"/>
              <w:bottom w:val="nil"/>
              <w:right w:val="nil"/>
            </w:tcBorders>
            <w:shd w:val="clear" w:color="000000" w:fill="FFFFFF"/>
            <w:vAlign w:val="center"/>
            <w:hideMark/>
          </w:tcPr>
          <w:p w14:paraId="31CE7B2F"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9</w:t>
            </w:r>
          </w:p>
        </w:tc>
        <w:tc>
          <w:tcPr>
            <w:tcW w:w="1420" w:type="dxa"/>
            <w:tcBorders>
              <w:top w:val="nil"/>
              <w:left w:val="nil"/>
              <w:bottom w:val="nil"/>
              <w:right w:val="nil"/>
            </w:tcBorders>
            <w:shd w:val="clear" w:color="000000" w:fill="FFFFFF"/>
            <w:vAlign w:val="center"/>
            <w:hideMark/>
          </w:tcPr>
          <w:p w14:paraId="595888D3"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54</w:t>
            </w:r>
          </w:p>
        </w:tc>
      </w:tr>
      <w:tr w:rsidR="008A0CED" w:rsidRPr="00640736" w14:paraId="063A833E" w14:textId="77777777" w:rsidTr="002E5C71">
        <w:trPr>
          <w:trHeight w:val="285"/>
        </w:trPr>
        <w:tc>
          <w:tcPr>
            <w:tcW w:w="5387" w:type="dxa"/>
            <w:tcBorders>
              <w:top w:val="nil"/>
              <w:left w:val="nil"/>
              <w:bottom w:val="nil"/>
              <w:right w:val="nil"/>
            </w:tcBorders>
            <w:shd w:val="clear" w:color="000000" w:fill="FFFFFF"/>
            <w:noWrap/>
            <w:vAlign w:val="bottom"/>
            <w:hideMark/>
          </w:tcPr>
          <w:p w14:paraId="0E7539C9" w14:textId="77777777" w:rsidR="008A0CED" w:rsidRPr="00640736" w:rsidRDefault="008A0CED" w:rsidP="002E5C71">
            <w:pPr>
              <w:spacing w:line="240" w:lineRule="auto"/>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Feelings of trust and acceptance of diversity</w:t>
            </w:r>
          </w:p>
        </w:tc>
        <w:tc>
          <w:tcPr>
            <w:tcW w:w="992" w:type="dxa"/>
            <w:tcBorders>
              <w:top w:val="nil"/>
              <w:left w:val="nil"/>
              <w:bottom w:val="nil"/>
              <w:right w:val="nil"/>
            </w:tcBorders>
            <w:shd w:val="clear" w:color="000000" w:fill="FFFFFF"/>
            <w:noWrap/>
            <w:vAlign w:val="bottom"/>
            <w:hideMark/>
          </w:tcPr>
          <w:p w14:paraId="42369129"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0.041</w:t>
            </w:r>
          </w:p>
        </w:tc>
        <w:tc>
          <w:tcPr>
            <w:tcW w:w="1134" w:type="dxa"/>
            <w:tcBorders>
              <w:top w:val="nil"/>
              <w:left w:val="nil"/>
              <w:bottom w:val="nil"/>
              <w:right w:val="nil"/>
            </w:tcBorders>
            <w:shd w:val="clear" w:color="000000" w:fill="FFFFFF"/>
            <w:noWrap/>
            <w:vAlign w:val="bottom"/>
            <w:hideMark/>
          </w:tcPr>
          <w:p w14:paraId="426BB420"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2</w:t>
            </w:r>
          </w:p>
        </w:tc>
        <w:tc>
          <w:tcPr>
            <w:tcW w:w="1420" w:type="dxa"/>
            <w:tcBorders>
              <w:top w:val="nil"/>
              <w:left w:val="nil"/>
              <w:bottom w:val="nil"/>
              <w:right w:val="nil"/>
            </w:tcBorders>
            <w:shd w:val="clear" w:color="000000" w:fill="FFFFFF"/>
            <w:noWrap/>
            <w:vAlign w:val="bottom"/>
            <w:hideMark/>
          </w:tcPr>
          <w:p w14:paraId="38EA0E7C" w14:textId="77777777" w:rsidR="008A0CED" w:rsidRPr="00640736" w:rsidRDefault="008A0CED" w:rsidP="002E5C71">
            <w:pPr>
              <w:spacing w:line="240" w:lineRule="auto"/>
              <w:jc w:val="right"/>
              <w:rPr>
                <w:rFonts w:ascii="Aptos Narrow" w:eastAsia="Times New Roman" w:hAnsi="Aptos Narrow" w:cs="Times New Roman"/>
                <w:color w:val="000000"/>
                <w:lang w:eastAsia="en-GB"/>
              </w:rPr>
            </w:pPr>
            <w:r w:rsidRPr="00640736">
              <w:rPr>
                <w:rFonts w:ascii="Aptos Narrow" w:eastAsia="Times New Roman" w:hAnsi="Aptos Narrow" w:cs="Times New Roman"/>
                <w:color w:val="000000"/>
                <w:lang w:eastAsia="en-GB"/>
              </w:rPr>
              <w:t>17</w:t>
            </w:r>
          </w:p>
        </w:tc>
      </w:tr>
      <w:tr w:rsidR="008A0CED" w:rsidRPr="00640736" w14:paraId="579FEF37" w14:textId="77777777" w:rsidTr="002E5C71">
        <w:trPr>
          <w:trHeight w:val="285"/>
        </w:trPr>
        <w:tc>
          <w:tcPr>
            <w:tcW w:w="5387" w:type="dxa"/>
            <w:tcBorders>
              <w:top w:val="nil"/>
              <w:left w:val="nil"/>
              <w:bottom w:val="nil"/>
              <w:right w:val="nil"/>
            </w:tcBorders>
            <w:shd w:val="clear" w:color="000000" w:fill="FFFFFF"/>
            <w:vAlign w:val="center"/>
            <w:hideMark/>
          </w:tcPr>
          <w:p w14:paraId="0DC98CFC"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Physical security</w:t>
            </w:r>
          </w:p>
        </w:tc>
        <w:tc>
          <w:tcPr>
            <w:tcW w:w="992" w:type="dxa"/>
            <w:tcBorders>
              <w:top w:val="nil"/>
              <w:left w:val="nil"/>
              <w:bottom w:val="nil"/>
              <w:right w:val="nil"/>
            </w:tcBorders>
            <w:shd w:val="clear" w:color="000000" w:fill="FFFFFF"/>
            <w:vAlign w:val="center"/>
            <w:hideMark/>
          </w:tcPr>
          <w:p w14:paraId="08326083"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0.034</w:t>
            </w:r>
          </w:p>
        </w:tc>
        <w:tc>
          <w:tcPr>
            <w:tcW w:w="1134" w:type="dxa"/>
            <w:tcBorders>
              <w:top w:val="nil"/>
              <w:left w:val="nil"/>
              <w:bottom w:val="nil"/>
              <w:right w:val="nil"/>
            </w:tcBorders>
            <w:shd w:val="clear" w:color="000000" w:fill="FFFFFF"/>
            <w:vAlign w:val="center"/>
            <w:hideMark/>
          </w:tcPr>
          <w:p w14:paraId="0FAD4793"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2</w:t>
            </w:r>
          </w:p>
        </w:tc>
        <w:tc>
          <w:tcPr>
            <w:tcW w:w="1420" w:type="dxa"/>
            <w:tcBorders>
              <w:top w:val="nil"/>
              <w:left w:val="nil"/>
              <w:bottom w:val="nil"/>
              <w:right w:val="nil"/>
            </w:tcBorders>
            <w:shd w:val="clear" w:color="000000" w:fill="FFFFFF"/>
            <w:vAlign w:val="center"/>
            <w:hideMark/>
          </w:tcPr>
          <w:p w14:paraId="059F9EE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6</w:t>
            </w:r>
          </w:p>
        </w:tc>
      </w:tr>
      <w:tr w:rsidR="008A0CED" w:rsidRPr="00640736" w14:paraId="44259ECF" w14:textId="77777777" w:rsidTr="002E5C71">
        <w:trPr>
          <w:trHeight w:val="285"/>
        </w:trPr>
        <w:tc>
          <w:tcPr>
            <w:tcW w:w="5387" w:type="dxa"/>
            <w:tcBorders>
              <w:top w:val="nil"/>
              <w:left w:val="nil"/>
              <w:bottom w:val="nil"/>
              <w:right w:val="nil"/>
            </w:tcBorders>
            <w:shd w:val="clear" w:color="000000" w:fill="FFFFFF"/>
            <w:vAlign w:val="center"/>
            <w:hideMark/>
          </w:tcPr>
          <w:p w14:paraId="2DA8EF04"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Civic participation</w:t>
            </w:r>
          </w:p>
        </w:tc>
        <w:tc>
          <w:tcPr>
            <w:tcW w:w="992" w:type="dxa"/>
            <w:tcBorders>
              <w:top w:val="nil"/>
              <w:left w:val="nil"/>
              <w:bottom w:val="nil"/>
              <w:right w:val="nil"/>
            </w:tcBorders>
            <w:shd w:val="clear" w:color="000000" w:fill="FFFFFF"/>
            <w:vAlign w:val="center"/>
            <w:hideMark/>
          </w:tcPr>
          <w:p w14:paraId="44E644B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0.024</w:t>
            </w:r>
          </w:p>
        </w:tc>
        <w:tc>
          <w:tcPr>
            <w:tcW w:w="1134" w:type="dxa"/>
            <w:tcBorders>
              <w:top w:val="nil"/>
              <w:left w:val="nil"/>
              <w:bottom w:val="nil"/>
              <w:right w:val="nil"/>
            </w:tcBorders>
            <w:shd w:val="clear" w:color="000000" w:fill="FFFFFF"/>
            <w:vAlign w:val="center"/>
            <w:hideMark/>
          </w:tcPr>
          <w:p w14:paraId="50E71FA2"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2</w:t>
            </w:r>
          </w:p>
        </w:tc>
        <w:tc>
          <w:tcPr>
            <w:tcW w:w="1420" w:type="dxa"/>
            <w:tcBorders>
              <w:top w:val="nil"/>
              <w:left w:val="nil"/>
              <w:bottom w:val="nil"/>
              <w:right w:val="nil"/>
            </w:tcBorders>
            <w:shd w:val="clear" w:color="000000" w:fill="FFFFFF"/>
            <w:vAlign w:val="center"/>
            <w:hideMark/>
          </w:tcPr>
          <w:p w14:paraId="4DB56D0E"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5</w:t>
            </w:r>
          </w:p>
        </w:tc>
      </w:tr>
      <w:tr w:rsidR="008A0CED" w:rsidRPr="00640736" w14:paraId="01E6D1BC" w14:textId="77777777" w:rsidTr="002E5C71">
        <w:trPr>
          <w:trHeight w:val="285"/>
        </w:trPr>
        <w:tc>
          <w:tcPr>
            <w:tcW w:w="5387" w:type="dxa"/>
            <w:tcBorders>
              <w:top w:val="nil"/>
              <w:left w:val="nil"/>
              <w:right w:val="nil"/>
            </w:tcBorders>
            <w:shd w:val="clear" w:color="000000" w:fill="FFFFFF"/>
            <w:vAlign w:val="center"/>
            <w:hideMark/>
          </w:tcPr>
          <w:p w14:paraId="724A342D"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Government performance</w:t>
            </w:r>
          </w:p>
        </w:tc>
        <w:tc>
          <w:tcPr>
            <w:tcW w:w="992" w:type="dxa"/>
            <w:tcBorders>
              <w:top w:val="nil"/>
              <w:left w:val="nil"/>
              <w:right w:val="nil"/>
            </w:tcBorders>
            <w:shd w:val="clear" w:color="000000" w:fill="FFFFFF"/>
            <w:vAlign w:val="center"/>
            <w:hideMark/>
          </w:tcPr>
          <w:p w14:paraId="23C09F68"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-0.066</w:t>
            </w:r>
          </w:p>
        </w:tc>
        <w:tc>
          <w:tcPr>
            <w:tcW w:w="1134" w:type="dxa"/>
            <w:tcBorders>
              <w:top w:val="nil"/>
              <w:left w:val="nil"/>
              <w:right w:val="nil"/>
            </w:tcBorders>
            <w:shd w:val="clear" w:color="000000" w:fill="FFFFFF"/>
            <w:vAlign w:val="center"/>
            <w:hideMark/>
          </w:tcPr>
          <w:p w14:paraId="2FB0126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3</w:t>
            </w:r>
          </w:p>
        </w:tc>
        <w:tc>
          <w:tcPr>
            <w:tcW w:w="1420" w:type="dxa"/>
            <w:tcBorders>
              <w:top w:val="nil"/>
              <w:left w:val="nil"/>
              <w:right w:val="nil"/>
            </w:tcBorders>
            <w:shd w:val="clear" w:color="000000" w:fill="FFFFFF"/>
            <w:vAlign w:val="center"/>
            <w:hideMark/>
          </w:tcPr>
          <w:p w14:paraId="10BEC70C"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12</w:t>
            </w:r>
          </w:p>
        </w:tc>
      </w:tr>
      <w:tr w:rsidR="008A0CED" w:rsidRPr="00640736" w14:paraId="139FECF3" w14:textId="77777777" w:rsidTr="002E5C71">
        <w:trPr>
          <w:trHeight w:val="285"/>
        </w:trPr>
        <w:tc>
          <w:tcPr>
            <w:tcW w:w="5387" w:type="dxa"/>
            <w:tcBorders>
              <w:top w:val="nil"/>
              <w:left w:val="nil"/>
              <w:bottom w:val="single" w:sz="4" w:space="0" w:color="auto"/>
              <w:right w:val="nil"/>
            </w:tcBorders>
            <w:shd w:val="clear" w:color="000000" w:fill="FFFFFF"/>
            <w:vAlign w:val="center"/>
            <w:hideMark/>
          </w:tcPr>
          <w:p w14:paraId="0F08B985" w14:textId="77777777" w:rsidR="008A0CED" w:rsidRPr="00640736" w:rsidRDefault="008A0CED" w:rsidP="002E5C71">
            <w:pPr>
              <w:spacing w:line="240" w:lineRule="auto"/>
              <w:rPr>
                <w:rFonts w:eastAsia="Times New Roman"/>
                <w:color w:val="333333"/>
                <w:lang w:eastAsia="en-GB"/>
              </w:rPr>
            </w:pPr>
            <w:r w:rsidRPr="00640736">
              <w:rPr>
                <w:rFonts w:eastAsia="Times New Roman"/>
                <w:color w:val="333333"/>
                <w:lang w:eastAsia="en-GB"/>
              </w:rPr>
              <w:t>Sexual and gender- based violence</w:t>
            </w:r>
          </w:p>
        </w:tc>
        <w:tc>
          <w:tcPr>
            <w:tcW w:w="992" w:type="dxa"/>
            <w:tcBorders>
              <w:top w:val="nil"/>
              <w:left w:val="nil"/>
              <w:bottom w:val="single" w:sz="4" w:space="0" w:color="auto"/>
              <w:right w:val="nil"/>
            </w:tcBorders>
            <w:shd w:val="clear" w:color="000000" w:fill="FFFFFF"/>
            <w:vAlign w:val="center"/>
            <w:hideMark/>
          </w:tcPr>
          <w:p w14:paraId="5CC1DAD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-0.295</w:t>
            </w:r>
          </w:p>
        </w:tc>
        <w:tc>
          <w:tcPr>
            <w:tcW w:w="1134" w:type="dxa"/>
            <w:tcBorders>
              <w:top w:val="nil"/>
              <w:left w:val="nil"/>
              <w:bottom w:val="single" w:sz="4" w:space="0" w:color="auto"/>
              <w:right w:val="nil"/>
            </w:tcBorders>
            <w:shd w:val="clear" w:color="000000" w:fill="FFFFFF"/>
            <w:vAlign w:val="center"/>
            <w:hideMark/>
          </w:tcPr>
          <w:p w14:paraId="13F54B71"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1</w:t>
            </w:r>
          </w:p>
        </w:tc>
        <w:tc>
          <w:tcPr>
            <w:tcW w:w="1420" w:type="dxa"/>
            <w:tcBorders>
              <w:top w:val="nil"/>
              <w:left w:val="nil"/>
              <w:bottom w:val="single" w:sz="4" w:space="0" w:color="auto"/>
              <w:right w:val="nil"/>
            </w:tcBorders>
            <w:shd w:val="clear" w:color="000000" w:fill="FFFFFF"/>
            <w:vAlign w:val="center"/>
            <w:hideMark/>
          </w:tcPr>
          <w:p w14:paraId="445BDFA7" w14:textId="77777777" w:rsidR="008A0CED" w:rsidRPr="00640736" w:rsidRDefault="008A0CED" w:rsidP="002E5C71">
            <w:pPr>
              <w:spacing w:line="240" w:lineRule="auto"/>
              <w:jc w:val="right"/>
              <w:rPr>
                <w:rFonts w:eastAsia="Times New Roman"/>
                <w:color w:val="333333"/>
                <w:lang w:eastAsia="en-GB"/>
              </w:rPr>
            </w:pPr>
            <w:r w:rsidRPr="00640736">
              <w:rPr>
                <w:rFonts w:eastAsia="Times New Roman"/>
                <w:color w:val="333333"/>
                <w:lang w:eastAsia="en-GB"/>
              </w:rPr>
              <w:t>2</w:t>
            </w:r>
          </w:p>
        </w:tc>
      </w:tr>
    </w:tbl>
    <w:p w14:paraId="7951F39A" w14:textId="77777777" w:rsidR="008A0CED" w:rsidRDefault="008A0CED" w:rsidP="008A0CED">
      <w:r>
        <w:t xml:space="preserve">Note: A positive sign indicates an improvement, e.g. less violence, and a negative sign an adverse effect.  </w:t>
      </w:r>
    </w:p>
    <w:p w14:paraId="57FB462B" w14:textId="77777777" w:rsidR="008A0CED" w:rsidRDefault="008A0CED" w:rsidP="008A0CED"/>
    <w:p w14:paraId="5DBFB6C3" w14:textId="77777777" w:rsidR="008A0CED" w:rsidRDefault="008A0CED" w:rsidP="008A0CED">
      <w:r>
        <w:lastRenderedPageBreak/>
        <w:t xml:space="preserve">Whilst there are positive effects from DDR and PKOs/PSOs in reducing violence, the effects are small and there are several moderators. </w:t>
      </w:r>
      <w:r w:rsidRPr="00C12592">
        <w:t>The success of interventions depends on mission size, mandate, and coordination with mediation efforts.</w:t>
      </w:r>
    </w:p>
    <w:p w14:paraId="1ED33A32" w14:textId="77777777" w:rsidR="008A0CED" w:rsidRDefault="008A0CED" w:rsidP="008A0CED"/>
    <w:p w14:paraId="286C6476" w14:textId="77777777" w:rsidR="008A0CED" w:rsidRDefault="008A0CED" w:rsidP="008A0CED">
      <w:r>
        <w:t xml:space="preserve">Overall, a </w:t>
      </w:r>
      <w:r w:rsidRPr="00C12592">
        <w:t xml:space="preserve">UN peacekeeping presence shortens conflicts especially in fragmented settings (i.e. with </w:t>
      </w:r>
      <w:proofErr w:type="gramStart"/>
      <w:r w:rsidRPr="00C12592">
        <w:t>a large number of</w:t>
      </w:r>
      <w:proofErr w:type="gramEnd"/>
      <w:r w:rsidRPr="00C12592">
        <w:t xml:space="preserve"> combatant groups) and decreases battle deaths, while UN police lower post war violence. But </w:t>
      </w:r>
      <w:r>
        <w:t xml:space="preserve">average </w:t>
      </w:r>
      <w:r w:rsidRPr="00C12592">
        <w:t>effects are small</w:t>
      </w:r>
      <w:r>
        <w:t xml:space="preserve"> </w:t>
      </w:r>
      <w:r w:rsidRPr="00C12592">
        <w:t>partly as peacekeeping reduces violence but does not end it. After a ceasefire or peace agreement violence</w:t>
      </w:r>
      <w:r>
        <w:t xml:space="preserve"> </w:t>
      </w:r>
      <w:r w:rsidRPr="00C12592">
        <w:t xml:space="preserve">often transforms into other forms of instability. </w:t>
      </w:r>
      <w:r>
        <w:t>Police officers rather than military are more effective in post-conflict settings. But there is a very small effect on physical security. And, there is a large adverse impact on sexual and gen</w:t>
      </w:r>
      <w:r w:rsidRPr="00C12592">
        <w:t>d</w:t>
      </w:r>
      <w:r>
        <w:t>er-base</w:t>
      </w:r>
      <w:r w:rsidRPr="00C12592">
        <w:t>d</w:t>
      </w:r>
      <w:r>
        <w:t xml:space="preserve"> violence, which is mainly - though not solely - perpetrate</w:t>
      </w:r>
      <w:r w:rsidRPr="00C12592">
        <w:t>d</w:t>
      </w:r>
      <w:r>
        <w:t xml:space="preserve"> by rebel forces.</w:t>
      </w:r>
      <w:r w:rsidRPr="000C305E">
        <w:t xml:space="preserve"> </w:t>
      </w:r>
    </w:p>
    <w:p w14:paraId="6156C39B" w14:textId="77777777" w:rsidR="008A0CED" w:rsidRDefault="008A0CED" w:rsidP="008A0CED"/>
    <w:p w14:paraId="589AE8C0" w14:textId="77777777" w:rsidR="008A0CED" w:rsidRDefault="008A0CED" w:rsidP="008A0CED">
      <w:r w:rsidRPr="00C12592">
        <w:t>Peacekeeping reduces electoral violence and atrocities, but its long-term impact on sustaining peace remains uncertain, particularly in complex conflicts with persistent security challenges</w:t>
      </w:r>
      <w:r>
        <w:t>, e.g. Su</w:t>
      </w:r>
      <w:r>
        <w:rPr>
          <w:rFonts w:eastAsia="Times New Roman"/>
          <w:color w:val="333333"/>
          <w:lang w:eastAsia="en-GB"/>
        </w:rPr>
        <w:t>dan and Somalia</w:t>
      </w:r>
      <w:r w:rsidRPr="00C12592">
        <w:t>.</w:t>
      </w:r>
    </w:p>
    <w:p w14:paraId="49DFE69D" w14:textId="77777777" w:rsidR="008A0CED" w:rsidRDefault="008A0CED" w:rsidP="008A0CED"/>
    <w:p w14:paraId="2D9EFF36" w14:textId="77777777" w:rsidR="008A0CED" w:rsidRDefault="008A0CED" w:rsidP="008A0CED">
      <w:r>
        <w:t>P</w:t>
      </w:r>
      <w:r w:rsidRPr="00F569C0">
        <w:t>eace support/keeping operations, particularly, peacekeeping operations and the presence of peacekeepers have a positive effect on the feelings of trust in the rule of law and acceptance of diversity. The presence of peacekeepers increased reliance on state authorities over non-state mechanisms for resolving crime and violence and increased cooperative decision-making and equitable resource allocation among ethnic groups.</w:t>
      </w:r>
      <w:r>
        <w:t xml:space="preserve"> An</w:t>
      </w:r>
      <w:r w:rsidRPr="00F569C0">
        <w:t>d</w:t>
      </w:r>
      <w:r>
        <w:t xml:space="preserve"> DDR can achieve a </w:t>
      </w:r>
      <w:proofErr w:type="gramStart"/>
      <w:r>
        <w:t>short run effects</w:t>
      </w:r>
      <w:proofErr w:type="gramEnd"/>
      <w:r>
        <w:t xml:space="preserve"> on cohesion but less on feelings of belonging but these </w:t>
      </w:r>
      <w:r w:rsidRPr="00F569C0">
        <w:t>d</w:t>
      </w:r>
      <w:r>
        <w:t>o not last. These interventions work better with women, an</w:t>
      </w:r>
      <w:r w:rsidRPr="00F569C0">
        <w:t>d</w:t>
      </w:r>
      <w:r>
        <w:t xml:space="preserve"> less with more e</w:t>
      </w:r>
      <w:r w:rsidRPr="00F569C0">
        <w:t>d</w:t>
      </w:r>
      <w:r>
        <w:t>ucate</w:t>
      </w:r>
      <w:r w:rsidRPr="00F569C0">
        <w:t>d</w:t>
      </w:r>
      <w:r>
        <w:t xml:space="preserve"> rebels, especially lea</w:t>
      </w:r>
      <w:r w:rsidRPr="00F569C0">
        <w:t>d</w:t>
      </w:r>
      <w:r>
        <w:t xml:space="preserve">ers.  </w:t>
      </w:r>
    </w:p>
    <w:p w14:paraId="47B17CDB" w14:textId="77777777" w:rsidR="008A0CED" w:rsidRDefault="008A0CED" w:rsidP="008A0CED"/>
    <w:p w14:paraId="7F0FA6E9" w14:textId="77777777" w:rsidR="008A0CED" w:rsidRDefault="008A0CED" w:rsidP="008A0CED">
      <w:r>
        <w:t>There is low confidence in most fin</w:t>
      </w:r>
      <w:r>
        <w:rPr>
          <w:rFonts w:eastAsia="Times New Roman"/>
          <w:color w:val="333333"/>
          <w:lang w:eastAsia="en-GB"/>
        </w:rPr>
        <w:t>dings in this row, both because of the low number of studies most cells and because of low confidence in the included studies.</w:t>
      </w:r>
    </w:p>
    <w:p w14:paraId="1683322E" w14:textId="77777777" w:rsidR="008A0CED" w:rsidRDefault="008A0CED" w:rsidP="008A0CED"/>
    <w:p w14:paraId="4228DA2A" w14:textId="77777777" w:rsidR="008A0CED" w:rsidRDefault="008A0CED" w:rsidP="008A0CED"/>
    <w:p w14:paraId="344653BA" w14:textId="77777777" w:rsidR="008A0CED" w:rsidRDefault="008A0CED" w:rsidP="008A0CED">
      <w:r>
        <w:t xml:space="preserve"> </w:t>
      </w:r>
    </w:p>
    <w:p w14:paraId="0906D194" w14:textId="77777777" w:rsidR="008A0CED" w:rsidRDefault="008A0CED" w:rsidP="008A0CED"/>
    <w:p w14:paraId="65A2C76C" w14:textId="77777777" w:rsidR="008A0CED" w:rsidRDefault="008A0CED" w:rsidP="008A0CED"/>
    <w:p w14:paraId="30C95DF7" w14:textId="77777777" w:rsidR="008A0CED" w:rsidRDefault="008A0CED" w:rsidP="008A0CED"/>
    <w:p w14:paraId="38269D81" w14:textId="77777777" w:rsidR="008A0CED" w:rsidRDefault="008A0CED" w:rsidP="008A0CED">
      <w:pPr>
        <w:rPr>
          <w:b/>
          <w:bCs/>
          <w:lang w:val="en-IN"/>
        </w:rPr>
      </w:pPr>
      <w:bookmarkStart w:id="2" w:name="_Toc193464441"/>
    </w:p>
    <w:p w14:paraId="3C75305C" w14:textId="77777777" w:rsidR="008A0CED" w:rsidRDefault="008A0CED" w:rsidP="008A0CED">
      <w:pPr>
        <w:rPr>
          <w:b/>
          <w:bCs/>
          <w:lang w:val="en-IN"/>
        </w:rPr>
      </w:pPr>
    </w:p>
    <w:p w14:paraId="76CD12BC" w14:textId="77777777" w:rsidR="008A0CED" w:rsidRDefault="008A0CED" w:rsidP="008A0CED">
      <w:pPr>
        <w:rPr>
          <w:b/>
          <w:bCs/>
          <w:color w:val="434343"/>
          <w:sz w:val="28"/>
          <w:szCs w:val="28"/>
          <w:lang w:val="en-IN"/>
        </w:rPr>
      </w:pPr>
      <w:r>
        <w:rPr>
          <w:b/>
          <w:bCs/>
          <w:lang w:val="en-IN"/>
        </w:rPr>
        <w:br w:type="page"/>
      </w:r>
    </w:p>
    <w:p w14:paraId="3454A3EB" w14:textId="77777777" w:rsidR="008A0CED" w:rsidRPr="00735A22" w:rsidRDefault="008A0CED" w:rsidP="008A0CED">
      <w:pPr>
        <w:pStyle w:val="Heading3"/>
      </w:pPr>
      <w:r w:rsidRPr="003B2A31">
        <w:rPr>
          <w:b/>
          <w:bCs/>
        </w:rPr>
        <w:lastRenderedPageBreak/>
        <w:t>Diplomacy, Law, and Accountability – Aid assistance programs.</w:t>
      </w:r>
      <w:bookmarkEnd w:id="2"/>
    </w:p>
    <w:p w14:paraId="2E213E52" w14:textId="77777777" w:rsidR="008A0CED" w:rsidRPr="00CA20BB" w:rsidRDefault="008A0CED" w:rsidP="008A0CED">
      <w:pPr>
        <w:spacing w:afterLines="80" w:after="192" w:line="312" w:lineRule="auto"/>
        <w:rPr>
          <w:lang w:val="en-IN"/>
        </w:rPr>
      </w:pPr>
    </w:p>
    <w:p w14:paraId="4C60A25C" w14:textId="77777777" w:rsidR="008A0CED" w:rsidRPr="00CA20BB" w:rsidRDefault="008A0CED" w:rsidP="008A0CED">
      <w:pPr>
        <w:spacing w:afterLines="80" w:after="192" w:line="312" w:lineRule="auto"/>
        <w:rPr>
          <w:lang w:val="en-IN"/>
        </w:rPr>
      </w:pPr>
      <w:r w:rsidRPr="00CA20BB">
        <w:rPr>
          <w:b/>
          <w:bCs/>
          <w:lang w:val="en-IN"/>
        </w:rPr>
        <w:t>Aid assistance and aid conditionalities</w:t>
      </w:r>
    </w:p>
    <w:p w14:paraId="324183B5" w14:textId="77777777" w:rsidR="008A0CED" w:rsidRPr="00CA20BB" w:rsidRDefault="008A0CED" w:rsidP="008A0CED">
      <w:pPr>
        <w:spacing w:afterLines="80" w:after="192" w:line="312" w:lineRule="auto"/>
        <w:rPr>
          <w:lang w:val="en-IN"/>
        </w:rPr>
      </w:pPr>
      <w:r w:rsidRPr="00CA20BB">
        <w:rPr>
          <w:lang w:val="en-IN"/>
        </w:rPr>
        <w:t>Aid is used directly to address conflict through a range of causal mechanisms. Aid can support the legitimacy of government, and so support stability, by strengthening institutions, improving governance, and a “hearts and minds” approach of   providing public services. However, aid projects are usually concentrated around the capital, whereas conflict occurs in more outlying areas. </w:t>
      </w:r>
    </w:p>
    <w:p w14:paraId="166679E4" w14:textId="77777777" w:rsidR="008A0CED" w:rsidRPr="00CA20BB" w:rsidRDefault="008A0CED" w:rsidP="008A0CED">
      <w:pPr>
        <w:spacing w:afterLines="80" w:after="192" w:line="312" w:lineRule="auto"/>
        <w:rPr>
          <w:lang w:val="en-IN"/>
        </w:rPr>
      </w:pPr>
      <w:r w:rsidRPr="00CA20BB">
        <w:rPr>
          <w:lang w:val="en-IN"/>
        </w:rPr>
        <w:t>The evidence suggests that in general aid is not effective in reducing conflict.  The four included studies, and the one narrative review, conclude there are adverse effects.  The overall effect size for all studies is a small, adverse effect.</w:t>
      </w:r>
    </w:p>
    <w:p w14:paraId="745EF013" w14:textId="77777777" w:rsidR="008A0CED" w:rsidRPr="00CA20BB" w:rsidRDefault="008A0CED" w:rsidP="008A0CED">
      <w:pPr>
        <w:spacing w:afterLines="80" w:after="192" w:line="312" w:lineRule="auto"/>
        <w:rPr>
          <w:lang w:val="en-IN"/>
        </w:rPr>
      </w:pPr>
      <w:r w:rsidRPr="00CA20BB">
        <w:rPr>
          <w:lang w:val="en-IN"/>
        </w:rPr>
        <w:t xml:space="preserve">There is heterogeneity by type of aid and context. Military aid increases conflict. Aid is more likely to be more effective in relatively stable environments, but more likely to fuel it in unstable settings when combatants may seize aid, or attack aid-supported facilities. One study </w:t>
      </w:r>
      <w:proofErr w:type="gramStart"/>
      <w:r w:rsidRPr="00CA20BB">
        <w:rPr>
          <w:lang w:val="en-IN"/>
        </w:rPr>
        <w:t>reports</w:t>
      </w:r>
      <w:proofErr w:type="gramEnd"/>
      <w:r w:rsidRPr="00CA20BB">
        <w:rPr>
          <w:lang w:val="en-IN"/>
        </w:rPr>
        <w:t xml:space="preserve"> that “easily lootable aid” is associated with higher civilian fatalities.  Also,</w:t>
      </w:r>
    </w:p>
    <w:p w14:paraId="792CF758" w14:textId="77777777" w:rsidR="008A0CED" w:rsidRPr="00CA20BB" w:rsidRDefault="008A0CED" w:rsidP="008A0CED">
      <w:pPr>
        <w:spacing w:afterLines="80" w:after="192" w:line="312" w:lineRule="auto"/>
        <w:rPr>
          <w:lang w:val="en-IN"/>
        </w:rPr>
      </w:pPr>
      <w:r w:rsidRPr="00CA20BB">
        <w:rPr>
          <w:lang w:val="en-IN"/>
        </w:rPr>
        <w:t>In contrast, withholding aid is effective in persuading governments to comply with the condition which has triggered the sanctions – such as democratic transition. However, this effect weakens over time.</w:t>
      </w:r>
    </w:p>
    <w:p w14:paraId="4D19E148" w14:textId="77777777" w:rsidR="008A0CED" w:rsidRPr="00CA20BB" w:rsidRDefault="008A0CED" w:rsidP="008A0CED">
      <w:pPr>
        <w:spacing w:afterLines="80" w:after="192" w:line="312" w:lineRule="auto"/>
        <w:rPr>
          <w:lang w:val="en-IN"/>
        </w:rPr>
      </w:pPr>
      <w:r w:rsidRPr="00CA20BB">
        <w:rPr>
          <w:lang w:val="en-IN"/>
        </w:rPr>
        <w:t> </w:t>
      </w:r>
    </w:p>
    <w:p w14:paraId="74E459CD" w14:textId="77777777" w:rsidR="008A0CED" w:rsidRPr="00CA20BB" w:rsidRDefault="008A0CED" w:rsidP="008A0CED">
      <w:pPr>
        <w:spacing w:afterLines="80" w:after="192" w:line="312" w:lineRule="auto"/>
        <w:rPr>
          <w:lang w:val="en-IN"/>
        </w:rPr>
      </w:pPr>
      <w:r>
        <w:rPr>
          <w:b/>
          <w:bCs/>
          <w:lang w:val="en-IN"/>
        </w:rPr>
        <w:t xml:space="preserve">Table 5 - </w:t>
      </w:r>
      <w:r w:rsidRPr="00CA20BB">
        <w:rPr>
          <w:b/>
          <w:bCs/>
          <w:lang w:val="en-IN"/>
        </w:rPr>
        <w:t>Effect of Aid assistance and conditionalities</w:t>
      </w:r>
    </w:p>
    <w:tbl>
      <w:tblPr>
        <w:tblW w:w="0" w:type="auto"/>
        <w:tblCellMar>
          <w:top w:w="15" w:type="dxa"/>
          <w:left w:w="15" w:type="dxa"/>
          <w:bottom w:w="15" w:type="dxa"/>
          <w:right w:w="15" w:type="dxa"/>
        </w:tblCellMar>
        <w:tblLook w:val="04A0" w:firstRow="1" w:lastRow="0" w:firstColumn="1" w:lastColumn="0" w:noHBand="0" w:noVBand="1"/>
      </w:tblPr>
      <w:tblGrid>
        <w:gridCol w:w="4329"/>
        <w:gridCol w:w="1213"/>
        <w:gridCol w:w="1542"/>
        <w:gridCol w:w="1942"/>
      </w:tblGrid>
      <w:tr w:rsidR="008A0CED" w:rsidRPr="00CA20BB" w14:paraId="46DCF85B" w14:textId="77777777" w:rsidTr="002E5C71">
        <w:trPr>
          <w:trHeight w:val="570"/>
        </w:trPr>
        <w:tc>
          <w:tcPr>
            <w:tcW w:w="0" w:type="auto"/>
            <w:tcBorders>
              <w:top w:val="single" w:sz="4" w:space="0" w:color="000000"/>
              <w:bottom w:val="single" w:sz="4" w:space="0" w:color="000000"/>
            </w:tcBorders>
            <w:tcMar>
              <w:top w:w="0" w:type="dxa"/>
              <w:left w:w="100" w:type="dxa"/>
              <w:bottom w:w="0" w:type="dxa"/>
              <w:right w:w="100" w:type="dxa"/>
            </w:tcMar>
            <w:hideMark/>
          </w:tcPr>
          <w:p w14:paraId="7755F4B9" w14:textId="77777777" w:rsidR="008A0CED" w:rsidRPr="00CA20BB" w:rsidRDefault="008A0CED" w:rsidP="002E5C71">
            <w:pPr>
              <w:spacing w:afterLines="80" w:after="192" w:line="312" w:lineRule="auto"/>
              <w:rPr>
                <w:lang w:val="en-IN"/>
              </w:rPr>
            </w:pPr>
            <w:r w:rsidRPr="00CA20BB">
              <w:rPr>
                <w:lang w:val="en-IN"/>
              </w:rPr>
              <w:t>Outcome sub-domain</w:t>
            </w:r>
          </w:p>
        </w:tc>
        <w:tc>
          <w:tcPr>
            <w:tcW w:w="0" w:type="auto"/>
            <w:tcBorders>
              <w:top w:val="single" w:sz="4" w:space="0" w:color="000000"/>
              <w:bottom w:val="single" w:sz="4" w:space="0" w:color="000000"/>
            </w:tcBorders>
            <w:tcMar>
              <w:top w:w="0" w:type="dxa"/>
              <w:left w:w="100" w:type="dxa"/>
              <w:bottom w:w="0" w:type="dxa"/>
              <w:right w:w="100" w:type="dxa"/>
            </w:tcMar>
            <w:hideMark/>
          </w:tcPr>
          <w:p w14:paraId="379A42BC" w14:textId="77777777" w:rsidR="008A0CED" w:rsidRPr="00CA20BB" w:rsidRDefault="008A0CED" w:rsidP="002E5C71">
            <w:pPr>
              <w:spacing w:afterLines="80" w:after="192" w:line="312" w:lineRule="auto"/>
              <w:rPr>
                <w:lang w:val="en-IN"/>
              </w:rPr>
            </w:pPr>
            <w:r w:rsidRPr="00CA20BB">
              <w:rPr>
                <w:lang w:val="en-IN"/>
              </w:rPr>
              <w:t>Effect size</w:t>
            </w:r>
          </w:p>
        </w:tc>
        <w:tc>
          <w:tcPr>
            <w:tcW w:w="0" w:type="auto"/>
            <w:tcBorders>
              <w:top w:val="single" w:sz="4" w:space="0" w:color="000000"/>
              <w:bottom w:val="single" w:sz="4" w:space="0" w:color="000000"/>
            </w:tcBorders>
            <w:tcMar>
              <w:top w:w="0" w:type="dxa"/>
              <w:left w:w="100" w:type="dxa"/>
              <w:bottom w:w="0" w:type="dxa"/>
              <w:right w:w="100" w:type="dxa"/>
            </w:tcMar>
            <w:hideMark/>
          </w:tcPr>
          <w:p w14:paraId="33FF04EF" w14:textId="77777777" w:rsidR="008A0CED" w:rsidRPr="00CA20BB" w:rsidRDefault="008A0CED" w:rsidP="002E5C71">
            <w:pPr>
              <w:spacing w:afterLines="80" w:after="192" w:line="312" w:lineRule="auto"/>
              <w:rPr>
                <w:lang w:val="en-IN"/>
              </w:rPr>
            </w:pPr>
            <w:r w:rsidRPr="00CA20BB">
              <w:rPr>
                <w:lang w:val="en-IN"/>
              </w:rPr>
              <w:t>No. of studies</w:t>
            </w:r>
          </w:p>
        </w:tc>
        <w:tc>
          <w:tcPr>
            <w:tcW w:w="0" w:type="auto"/>
            <w:tcBorders>
              <w:top w:val="single" w:sz="4" w:space="0" w:color="000000"/>
              <w:bottom w:val="single" w:sz="4" w:space="0" w:color="000000"/>
            </w:tcBorders>
            <w:tcMar>
              <w:top w:w="0" w:type="dxa"/>
              <w:left w:w="100" w:type="dxa"/>
              <w:bottom w:w="0" w:type="dxa"/>
              <w:right w:w="100" w:type="dxa"/>
            </w:tcMar>
            <w:hideMark/>
          </w:tcPr>
          <w:p w14:paraId="596D081C" w14:textId="77777777" w:rsidR="008A0CED" w:rsidRPr="00CA20BB" w:rsidRDefault="008A0CED" w:rsidP="002E5C71">
            <w:pPr>
              <w:spacing w:afterLines="80" w:after="192" w:line="312" w:lineRule="auto"/>
              <w:rPr>
                <w:lang w:val="en-IN"/>
              </w:rPr>
            </w:pPr>
            <w:r w:rsidRPr="00CA20BB">
              <w:rPr>
                <w:lang w:val="en-IN"/>
              </w:rPr>
              <w:t>No. of effect sizes</w:t>
            </w:r>
          </w:p>
        </w:tc>
      </w:tr>
      <w:tr w:rsidR="008A0CED" w:rsidRPr="00CA20BB" w14:paraId="3F51385B" w14:textId="77777777" w:rsidTr="002E5C71">
        <w:trPr>
          <w:trHeight w:val="285"/>
        </w:trPr>
        <w:tc>
          <w:tcPr>
            <w:tcW w:w="0" w:type="auto"/>
            <w:tcBorders>
              <w:top w:val="single" w:sz="4" w:space="0" w:color="000000"/>
            </w:tcBorders>
            <w:tcMar>
              <w:top w:w="0" w:type="dxa"/>
              <w:left w:w="100" w:type="dxa"/>
              <w:bottom w:w="0" w:type="dxa"/>
              <w:right w:w="100" w:type="dxa"/>
            </w:tcMar>
            <w:hideMark/>
          </w:tcPr>
          <w:p w14:paraId="2630A143" w14:textId="77777777" w:rsidR="008A0CED" w:rsidRPr="00CA20BB" w:rsidRDefault="008A0CED" w:rsidP="002E5C71">
            <w:pPr>
              <w:spacing w:afterLines="80" w:after="192" w:line="312" w:lineRule="auto"/>
              <w:rPr>
                <w:lang w:val="en-IN"/>
              </w:rPr>
            </w:pPr>
            <w:r w:rsidRPr="00CA20BB">
              <w:rPr>
                <w:lang w:val="en-IN"/>
              </w:rPr>
              <w:t>Diplomatic relations</w:t>
            </w:r>
          </w:p>
        </w:tc>
        <w:tc>
          <w:tcPr>
            <w:tcW w:w="0" w:type="auto"/>
            <w:tcBorders>
              <w:top w:val="single" w:sz="4" w:space="0" w:color="000000"/>
            </w:tcBorders>
            <w:tcMar>
              <w:top w:w="0" w:type="dxa"/>
              <w:left w:w="100" w:type="dxa"/>
              <w:bottom w:w="0" w:type="dxa"/>
              <w:right w:w="100" w:type="dxa"/>
            </w:tcMar>
            <w:hideMark/>
          </w:tcPr>
          <w:p w14:paraId="32A757E4" w14:textId="77777777" w:rsidR="008A0CED" w:rsidRPr="00CA20BB" w:rsidRDefault="008A0CED" w:rsidP="002E5C71">
            <w:pPr>
              <w:spacing w:afterLines="80" w:after="192" w:line="312" w:lineRule="auto"/>
              <w:rPr>
                <w:lang w:val="en-IN"/>
              </w:rPr>
            </w:pPr>
            <w:r w:rsidRPr="00CA20BB">
              <w:rPr>
                <w:lang w:val="en-IN"/>
              </w:rPr>
              <w:t>0.347</w:t>
            </w:r>
          </w:p>
        </w:tc>
        <w:tc>
          <w:tcPr>
            <w:tcW w:w="0" w:type="auto"/>
            <w:tcBorders>
              <w:top w:val="single" w:sz="4" w:space="0" w:color="000000"/>
            </w:tcBorders>
            <w:tcMar>
              <w:top w:w="0" w:type="dxa"/>
              <w:left w:w="100" w:type="dxa"/>
              <w:bottom w:w="0" w:type="dxa"/>
              <w:right w:w="100" w:type="dxa"/>
            </w:tcMar>
            <w:hideMark/>
          </w:tcPr>
          <w:p w14:paraId="58E3836B" w14:textId="77777777" w:rsidR="008A0CED" w:rsidRPr="00CA20BB" w:rsidRDefault="008A0CED" w:rsidP="002E5C71">
            <w:pPr>
              <w:spacing w:afterLines="80" w:after="192" w:line="312" w:lineRule="auto"/>
              <w:rPr>
                <w:lang w:val="en-IN"/>
              </w:rPr>
            </w:pPr>
            <w:r w:rsidRPr="00CA20BB">
              <w:rPr>
                <w:lang w:val="en-IN"/>
              </w:rPr>
              <w:t>1</w:t>
            </w:r>
          </w:p>
        </w:tc>
        <w:tc>
          <w:tcPr>
            <w:tcW w:w="0" w:type="auto"/>
            <w:tcBorders>
              <w:top w:val="single" w:sz="4" w:space="0" w:color="000000"/>
            </w:tcBorders>
            <w:tcMar>
              <w:top w:w="0" w:type="dxa"/>
              <w:left w:w="100" w:type="dxa"/>
              <w:bottom w:w="0" w:type="dxa"/>
              <w:right w:w="100" w:type="dxa"/>
            </w:tcMar>
            <w:hideMark/>
          </w:tcPr>
          <w:p w14:paraId="2B35858D" w14:textId="77777777" w:rsidR="008A0CED" w:rsidRPr="00CA20BB" w:rsidRDefault="008A0CED" w:rsidP="002E5C71">
            <w:pPr>
              <w:spacing w:afterLines="80" w:after="192" w:line="312" w:lineRule="auto"/>
              <w:rPr>
                <w:lang w:val="en-IN"/>
              </w:rPr>
            </w:pPr>
            <w:r w:rsidRPr="00CA20BB">
              <w:rPr>
                <w:lang w:val="en-IN"/>
              </w:rPr>
              <w:t>1</w:t>
            </w:r>
          </w:p>
        </w:tc>
      </w:tr>
      <w:tr w:rsidR="008A0CED" w:rsidRPr="00CA20BB" w14:paraId="114C636D" w14:textId="77777777" w:rsidTr="002E5C71">
        <w:trPr>
          <w:trHeight w:val="270"/>
        </w:trPr>
        <w:tc>
          <w:tcPr>
            <w:tcW w:w="0" w:type="auto"/>
            <w:tcMar>
              <w:top w:w="0" w:type="dxa"/>
              <w:left w:w="100" w:type="dxa"/>
              <w:bottom w:w="0" w:type="dxa"/>
              <w:right w:w="100" w:type="dxa"/>
            </w:tcMar>
            <w:hideMark/>
          </w:tcPr>
          <w:p w14:paraId="29EBD580" w14:textId="77777777" w:rsidR="008A0CED" w:rsidRPr="00CA20BB" w:rsidRDefault="008A0CED" w:rsidP="002E5C71">
            <w:pPr>
              <w:spacing w:afterLines="80" w:after="192" w:line="312" w:lineRule="auto"/>
              <w:rPr>
                <w:lang w:val="en-IN"/>
              </w:rPr>
            </w:pPr>
            <w:r w:rsidRPr="00CA20BB">
              <w:rPr>
                <w:lang w:val="en-IN"/>
              </w:rPr>
              <w:t>Economic security</w:t>
            </w:r>
          </w:p>
        </w:tc>
        <w:tc>
          <w:tcPr>
            <w:tcW w:w="0" w:type="auto"/>
            <w:tcMar>
              <w:top w:w="0" w:type="dxa"/>
              <w:left w:w="100" w:type="dxa"/>
              <w:bottom w:w="0" w:type="dxa"/>
              <w:right w:w="100" w:type="dxa"/>
            </w:tcMar>
            <w:hideMark/>
          </w:tcPr>
          <w:p w14:paraId="576A4C31" w14:textId="77777777" w:rsidR="008A0CED" w:rsidRPr="00CA20BB" w:rsidRDefault="008A0CED" w:rsidP="002E5C71">
            <w:pPr>
              <w:spacing w:afterLines="80" w:after="192" w:line="312" w:lineRule="auto"/>
              <w:rPr>
                <w:lang w:val="en-IN"/>
              </w:rPr>
            </w:pPr>
            <w:r w:rsidRPr="00CA20BB">
              <w:rPr>
                <w:lang w:val="en-IN"/>
              </w:rPr>
              <w:t>0.052</w:t>
            </w:r>
          </w:p>
        </w:tc>
        <w:tc>
          <w:tcPr>
            <w:tcW w:w="0" w:type="auto"/>
            <w:tcMar>
              <w:top w:w="0" w:type="dxa"/>
              <w:left w:w="100" w:type="dxa"/>
              <w:bottom w:w="0" w:type="dxa"/>
              <w:right w:w="100" w:type="dxa"/>
            </w:tcMar>
            <w:hideMark/>
          </w:tcPr>
          <w:p w14:paraId="23F9D296" w14:textId="77777777" w:rsidR="008A0CED" w:rsidRPr="00CA20BB" w:rsidRDefault="008A0CED" w:rsidP="002E5C71">
            <w:pPr>
              <w:spacing w:afterLines="80" w:after="192" w:line="312" w:lineRule="auto"/>
              <w:rPr>
                <w:lang w:val="en-IN"/>
              </w:rPr>
            </w:pPr>
            <w:r w:rsidRPr="00CA20BB">
              <w:rPr>
                <w:lang w:val="en-IN"/>
              </w:rPr>
              <w:t>1</w:t>
            </w:r>
          </w:p>
        </w:tc>
        <w:tc>
          <w:tcPr>
            <w:tcW w:w="0" w:type="auto"/>
            <w:tcMar>
              <w:top w:w="0" w:type="dxa"/>
              <w:left w:w="100" w:type="dxa"/>
              <w:bottom w:w="0" w:type="dxa"/>
              <w:right w:w="100" w:type="dxa"/>
            </w:tcMar>
            <w:hideMark/>
          </w:tcPr>
          <w:p w14:paraId="421095B7" w14:textId="77777777" w:rsidR="008A0CED" w:rsidRPr="00CA20BB" w:rsidRDefault="008A0CED" w:rsidP="002E5C71">
            <w:pPr>
              <w:spacing w:afterLines="80" w:after="192" w:line="312" w:lineRule="auto"/>
              <w:rPr>
                <w:lang w:val="en-IN"/>
              </w:rPr>
            </w:pPr>
            <w:r w:rsidRPr="00CA20BB">
              <w:rPr>
                <w:lang w:val="en-IN"/>
              </w:rPr>
              <w:t>11</w:t>
            </w:r>
          </w:p>
        </w:tc>
      </w:tr>
      <w:tr w:rsidR="008A0CED" w:rsidRPr="00CA20BB" w14:paraId="53EE3CC8" w14:textId="77777777" w:rsidTr="002E5C71">
        <w:trPr>
          <w:trHeight w:val="555"/>
        </w:trPr>
        <w:tc>
          <w:tcPr>
            <w:tcW w:w="0" w:type="auto"/>
            <w:tcBorders>
              <w:bottom w:val="single" w:sz="4" w:space="0" w:color="000000"/>
            </w:tcBorders>
            <w:tcMar>
              <w:top w:w="0" w:type="dxa"/>
              <w:left w:w="100" w:type="dxa"/>
              <w:bottom w:w="0" w:type="dxa"/>
              <w:right w:w="100" w:type="dxa"/>
            </w:tcMar>
            <w:hideMark/>
          </w:tcPr>
          <w:p w14:paraId="3A8F0D30" w14:textId="77777777" w:rsidR="008A0CED" w:rsidRPr="00CA20BB" w:rsidRDefault="008A0CED" w:rsidP="002E5C71">
            <w:pPr>
              <w:spacing w:afterLines="80" w:after="192" w:line="312" w:lineRule="auto"/>
              <w:rPr>
                <w:lang w:val="en-IN"/>
              </w:rPr>
            </w:pPr>
            <w:r w:rsidRPr="00CA20BB">
              <w:rPr>
                <w:lang w:val="en-IN"/>
              </w:rPr>
              <w:t>Nature and scale of violence and atrocities</w:t>
            </w:r>
          </w:p>
        </w:tc>
        <w:tc>
          <w:tcPr>
            <w:tcW w:w="0" w:type="auto"/>
            <w:tcBorders>
              <w:bottom w:val="single" w:sz="4" w:space="0" w:color="000000"/>
            </w:tcBorders>
            <w:tcMar>
              <w:top w:w="0" w:type="dxa"/>
              <w:left w:w="100" w:type="dxa"/>
              <w:bottom w:w="0" w:type="dxa"/>
              <w:right w:w="100" w:type="dxa"/>
            </w:tcMar>
            <w:hideMark/>
          </w:tcPr>
          <w:p w14:paraId="1CF9B3F2" w14:textId="77777777" w:rsidR="008A0CED" w:rsidRPr="00CA20BB" w:rsidRDefault="008A0CED" w:rsidP="002E5C71">
            <w:pPr>
              <w:spacing w:afterLines="80" w:after="192" w:line="312" w:lineRule="auto"/>
              <w:rPr>
                <w:lang w:val="en-IN"/>
              </w:rPr>
            </w:pPr>
            <w:r w:rsidRPr="00CA20BB">
              <w:rPr>
                <w:lang w:val="en-IN"/>
              </w:rPr>
              <w:t>-0.018</w:t>
            </w:r>
          </w:p>
        </w:tc>
        <w:tc>
          <w:tcPr>
            <w:tcW w:w="0" w:type="auto"/>
            <w:tcBorders>
              <w:bottom w:val="single" w:sz="4" w:space="0" w:color="000000"/>
            </w:tcBorders>
            <w:tcMar>
              <w:top w:w="0" w:type="dxa"/>
              <w:left w:w="100" w:type="dxa"/>
              <w:bottom w:w="0" w:type="dxa"/>
              <w:right w:w="100" w:type="dxa"/>
            </w:tcMar>
            <w:hideMark/>
          </w:tcPr>
          <w:p w14:paraId="327905A9" w14:textId="77777777" w:rsidR="008A0CED" w:rsidRPr="00CA20BB" w:rsidRDefault="008A0CED" w:rsidP="002E5C71">
            <w:pPr>
              <w:spacing w:afterLines="80" w:after="192" w:line="312" w:lineRule="auto"/>
              <w:rPr>
                <w:lang w:val="en-IN"/>
              </w:rPr>
            </w:pPr>
            <w:r w:rsidRPr="00CA20BB">
              <w:rPr>
                <w:lang w:val="en-IN"/>
              </w:rPr>
              <w:t>4</w:t>
            </w:r>
          </w:p>
        </w:tc>
        <w:tc>
          <w:tcPr>
            <w:tcW w:w="0" w:type="auto"/>
            <w:tcBorders>
              <w:bottom w:val="single" w:sz="4" w:space="0" w:color="000000"/>
            </w:tcBorders>
            <w:tcMar>
              <w:top w:w="0" w:type="dxa"/>
              <w:left w:w="100" w:type="dxa"/>
              <w:bottom w:w="0" w:type="dxa"/>
              <w:right w:w="100" w:type="dxa"/>
            </w:tcMar>
            <w:hideMark/>
          </w:tcPr>
          <w:p w14:paraId="67DAE774" w14:textId="77777777" w:rsidR="008A0CED" w:rsidRPr="00CA20BB" w:rsidRDefault="008A0CED" w:rsidP="002E5C71">
            <w:pPr>
              <w:spacing w:afterLines="80" w:after="192" w:line="312" w:lineRule="auto"/>
              <w:rPr>
                <w:lang w:val="en-IN"/>
              </w:rPr>
            </w:pPr>
            <w:r w:rsidRPr="00CA20BB">
              <w:rPr>
                <w:lang w:val="en-IN"/>
              </w:rPr>
              <w:t>35</w:t>
            </w:r>
          </w:p>
        </w:tc>
      </w:tr>
    </w:tbl>
    <w:p w14:paraId="759EB738" w14:textId="77777777" w:rsidR="008A0CED" w:rsidRPr="00CA20BB" w:rsidRDefault="008A0CED" w:rsidP="008A0CED">
      <w:pPr>
        <w:spacing w:afterLines="80" w:after="192" w:line="312" w:lineRule="auto"/>
        <w:rPr>
          <w:lang w:val="en-IN"/>
        </w:rPr>
      </w:pPr>
      <w:r w:rsidRPr="00CA20BB">
        <w:rPr>
          <w:lang w:val="en-IN"/>
        </w:rPr>
        <w:t> </w:t>
      </w:r>
    </w:p>
    <w:p w14:paraId="64E7D521" w14:textId="77777777" w:rsidR="008A0CED" w:rsidRPr="00CA20BB" w:rsidRDefault="008A0CED" w:rsidP="008A0CED">
      <w:pPr>
        <w:spacing w:afterLines="80" w:after="192" w:line="312" w:lineRule="auto"/>
        <w:rPr>
          <w:lang w:val="en-IN"/>
        </w:rPr>
      </w:pPr>
      <w:r w:rsidRPr="00CA20BB">
        <w:rPr>
          <w:lang w:val="en-IN"/>
        </w:rPr>
        <w:br/>
      </w:r>
      <w:r w:rsidRPr="00CA20BB">
        <w:rPr>
          <w:lang w:val="en-IN"/>
        </w:rPr>
        <w:br/>
      </w:r>
    </w:p>
    <w:p w14:paraId="2CE84182" w14:textId="77777777" w:rsidR="008A0CED" w:rsidRDefault="008A0CED" w:rsidP="008A0CED">
      <w:pPr>
        <w:rPr>
          <w:color w:val="434343"/>
          <w:sz w:val="28"/>
          <w:szCs w:val="28"/>
          <w:lang w:val="en-IN"/>
        </w:rPr>
      </w:pPr>
      <w:bookmarkStart w:id="3" w:name="_Toc193464442"/>
      <w:r>
        <w:rPr>
          <w:lang w:val="en-IN"/>
        </w:rPr>
        <w:br w:type="page"/>
      </w:r>
    </w:p>
    <w:p w14:paraId="6525EEFE" w14:textId="77777777" w:rsidR="008A0CED" w:rsidRPr="00CA20BB" w:rsidRDefault="008A0CED" w:rsidP="008A0CED">
      <w:pPr>
        <w:pStyle w:val="Heading3"/>
        <w:rPr>
          <w:b/>
          <w:bCs/>
        </w:rPr>
      </w:pPr>
      <w:r w:rsidRPr="00CA20BB">
        <w:lastRenderedPageBreak/>
        <w:t xml:space="preserve">Conflict Management and Mediation – </w:t>
      </w:r>
      <w:r>
        <w:t>M</w:t>
      </w:r>
      <w:r w:rsidRPr="00CA20BB">
        <w:t>edia and communication.</w:t>
      </w:r>
      <w:bookmarkEnd w:id="3"/>
    </w:p>
    <w:p w14:paraId="7B4E6D26" w14:textId="77777777" w:rsidR="008A0CED" w:rsidRPr="00CA20BB" w:rsidRDefault="008A0CED" w:rsidP="008A0CED">
      <w:pPr>
        <w:spacing w:afterLines="80" w:after="192" w:line="312" w:lineRule="auto"/>
        <w:rPr>
          <w:lang w:val="en-IN"/>
        </w:rPr>
      </w:pPr>
    </w:p>
    <w:p w14:paraId="0ABE33B5" w14:textId="77777777" w:rsidR="008A0CED" w:rsidRPr="00CA20BB" w:rsidRDefault="008A0CED" w:rsidP="008A0CED">
      <w:pPr>
        <w:spacing w:afterLines="80" w:after="192" w:line="312" w:lineRule="auto"/>
        <w:rPr>
          <w:lang w:val="en-IN"/>
        </w:rPr>
      </w:pPr>
      <w:r w:rsidRPr="00CA20BB">
        <w:rPr>
          <w:lang w:val="en-IN"/>
        </w:rPr>
        <w:t>The effects of media and communication interventions were summarized from 18 included studies, mostly conducted in sub-saharan africa region. Radio was identified as the primary medium for media and communication interventions, as seen in programs like Peace through Development II (PDEV II) and Voices for Peace, which combined broadcasts with community activities and facilitated discussions on governance, corruption, and police-community relations. Other interventions, such as Kumbuka Kesho in the DRC and Pro-Peace Messaging in Burkina Faso, used role-modeling radio dramas and religious sermons to promote tolerance and collective action. In Mali, peace radio programs were integrated with governance initiatives, while FM broadcasts during the Lord’s Resistance Army (LRA) insurgency encouraged defections through logistical guidance and reassurances of reintegration. Additionally, various media formats—including video campaigns, storytelling, social media messaging, and paradoxical thinking interventions—were used to challenge extremist narratives, foster dialogue, and promote active civic engagement. Initiatives like the Rwanda Threshold Program (RTP) and Wuro Potal in Burkina Faso further emphasized the role of media in governance awareness and accountability.</w:t>
      </w:r>
    </w:p>
    <w:p w14:paraId="3DD2659F" w14:textId="77777777" w:rsidR="008A0CED" w:rsidRPr="00CA20BB" w:rsidRDefault="008A0CED" w:rsidP="008A0CED">
      <w:pPr>
        <w:spacing w:afterLines="80" w:after="192" w:line="312" w:lineRule="auto"/>
        <w:rPr>
          <w:lang w:val="en-IN"/>
        </w:rPr>
      </w:pPr>
      <w:r w:rsidRPr="00CA20BB">
        <w:rPr>
          <w:lang w:val="en-IN"/>
        </w:rPr>
        <w:t>Media and communication effects on access to justice, the Rwanda Threshold Program had a moderate effect, as submission boxes gained acceptance, signaling a shift toward indirect engagement with law enforcement. Media-driven efforts to enhance willingness to participate and help had moderate effects, with programs like Musekeweya radio soap operas in Rwanda promoting reconciliation but showing inconsistent influence on prosocial behavior.</w:t>
      </w:r>
    </w:p>
    <w:p w14:paraId="4B914773" w14:textId="77777777" w:rsidR="008A0CED" w:rsidRPr="00CA20BB" w:rsidRDefault="008A0CED" w:rsidP="008A0CED">
      <w:pPr>
        <w:spacing w:afterLines="80" w:after="192" w:line="312" w:lineRule="auto"/>
        <w:rPr>
          <w:lang w:val="en-IN"/>
        </w:rPr>
      </w:pPr>
      <w:r w:rsidRPr="00CA20BB">
        <w:rPr>
          <w:lang w:val="en-IN"/>
        </w:rPr>
        <w:t xml:space="preserve">Media and communication interventions had small effects on political security and civic participation. While programs like Peace through Development II (PDEV II) improved political knowledge among radio listeners, they had limited impact on broader political engagement. Civic participation initiatives, including Voices for Peace in Burkina Faso and Kumbuka Kesho in the DRC, showed small effects, with some interventions increasing collaboration with security forces, though results varied across contexts. In nature and scale of violence and atrocity prevention outcomes, FM radio broadcasts encouraging defections from the Lord’s Resistance Army (LRA) had a small effect in reducing fatalities but led to unintended consequences, such as increased looting. Efforts to shift social norms around violence had small effects—while some reduced in-group superiority and promoted tolerance, others failed to change deep-seated ideological beliefs, with long-term interventions proving more effective. Intervention had a small effect on intermediate social cohesion outcome, improving fairness-based reasoning and intergroup trust in some cases, but persistent biases, trauma, and external conflicts often constrained impact. Effects on trust-building, feeling of trust and acceptance of diversity also showed small effects, with some radio dramas fostering reconciliation, enhanced intergroup trust, reduced social distance though others reinforced ethnic divisions. Media interventions had no effect on government performance, as efforts to improve transparency and institutional trust, such as the Rwanda Threshold Program, did </w:t>
      </w:r>
      <w:r w:rsidRPr="00CA20BB">
        <w:rPr>
          <w:lang w:val="en-IN"/>
        </w:rPr>
        <w:lastRenderedPageBreak/>
        <w:t>not significantly influence public perceptions. Finally, media interventions had an adverse effect on economic security, as programs like PDEV II had no measurable impact on livelihoods, employment, or financial stability. Overall, while media interventions show promise in influencing civic engagement, trust, and social norms, their effectiveness depends on sustained efforts, targeted messaging, and contextual relevance.</w:t>
      </w:r>
    </w:p>
    <w:p w14:paraId="1F6ED395" w14:textId="77777777" w:rsidR="008A0CED" w:rsidRDefault="008A0CED" w:rsidP="008A0CED">
      <w:pPr>
        <w:spacing w:afterLines="80" w:after="192" w:line="312" w:lineRule="auto"/>
        <w:rPr>
          <w:lang w:val="en-IN"/>
        </w:rPr>
      </w:pPr>
      <w:r w:rsidRPr="00CA20BB">
        <w:rPr>
          <w:lang w:val="en-IN"/>
        </w:rPr>
        <w:t>Overall, while media interventions showed promise in influencing civic engagement, trust, and social norms, their effectiveness depended on sustained efforts, targeted messaging, and contextual relevance.</w:t>
      </w:r>
    </w:p>
    <w:p w14:paraId="79B7B592" w14:textId="77777777" w:rsidR="008A0CED" w:rsidRDefault="008A0CED" w:rsidP="008A0CED"/>
    <w:p w14:paraId="17BD95F5" w14:textId="77777777" w:rsidR="008A0CED" w:rsidRDefault="008A0CED" w:rsidP="008A0CED"/>
    <w:p w14:paraId="5F2E8B7A" w14:textId="77777777" w:rsidR="008A0CED" w:rsidRPr="0080081F" w:rsidRDefault="008A0CED" w:rsidP="008A0CED">
      <w:pPr>
        <w:rPr>
          <w:b/>
          <w:bCs/>
        </w:rPr>
      </w:pPr>
      <w:r w:rsidRPr="0080081F">
        <w:rPr>
          <w:b/>
          <w:bCs/>
        </w:rPr>
        <w:t xml:space="preserve">Table 6 - Effect sizes from </w:t>
      </w:r>
      <w:r>
        <w:rPr>
          <w:b/>
          <w:bCs/>
        </w:rPr>
        <w:t>Role of Media and Communication</w:t>
      </w:r>
    </w:p>
    <w:tbl>
      <w:tblPr>
        <w:tblW w:w="7360" w:type="dxa"/>
        <w:tblLook w:val="04A0" w:firstRow="1" w:lastRow="0" w:firstColumn="1" w:lastColumn="0" w:noHBand="0" w:noVBand="1"/>
      </w:tblPr>
      <w:tblGrid>
        <w:gridCol w:w="1840"/>
        <w:gridCol w:w="1620"/>
        <w:gridCol w:w="2040"/>
        <w:gridCol w:w="1860"/>
      </w:tblGrid>
      <w:tr w:rsidR="008A0CED" w:rsidRPr="00EA02CC" w14:paraId="327B69E0" w14:textId="77777777" w:rsidTr="002E5C71">
        <w:trPr>
          <w:trHeight w:val="870"/>
        </w:trPr>
        <w:tc>
          <w:tcPr>
            <w:tcW w:w="1840" w:type="dxa"/>
            <w:tcBorders>
              <w:top w:val="single" w:sz="4" w:space="0" w:color="auto"/>
              <w:left w:val="nil"/>
              <w:bottom w:val="single" w:sz="4" w:space="0" w:color="auto"/>
              <w:right w:val="nil"/>
            </w:tcBorders>
            <w:shd w:val="clear" w:color="auto" w:fill="auto"/>
            <w:vAlign w:val="center"/>
            <w:hideMark/>
          </w:tcPr>
          <w:p w14:paraId="17A9BF5C"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Outcome</w:t>
            </w:r>
            <w:r>
              <w:rPr>
                <w:rFonts w:ascii="Aptos Narrow" w:eastAsia="Times New Roman" w:hAnsi="Aptos Narrow" w:cs="Times New Roman"/>
                <w:color w:val="000000"/>
              </w:rPr>
              <w:t xml:space="preserve"> Category</w:t>
            </w:r>
          </w:p>
        </w:tc>
        <w:tc>
          <w:tcPr>
            <w:tcW w:w="1620" w:type="dxa"/>
            <w:tcBorders>
              <w:top w:val="single" w:sz="4" w:space="0" w:color="auto"/>
              <w:left w:val="nil"/>
              <w:bottom w:val="single" w:sz="4" w:space="0" w:color="auto"/>
              <w:right w:val="nil"/>
            </w:tcBorders>
            <w:shd w:val="clear" w:color="auto" w:fill="auto"/>
            <w:vAlign w:val="center"/>
            <w:hideMark/>
          </w:tcPr>
          <w:p w14:paraId="661EDF72"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Effect size</w:t>
            </w:r>
          </w:p>
        </w:tc>
        <w:tc>
          <w:tcPr>
            <w:tcW w:w="2040" w:type="dxa"/>
            <w:tcBorders>
              <w:top w:val="single" w:sz="4" w:space="0" w:color="auto"/>
              <w:left w:val="nil"/>
              <w:bottom w:val="single" w:sz="4" w:space="0" w:color="auto"/>
              <w:right w:val="nil"/>
            </w:tcBorders>
            <w:shd w:val="clear" w:color="auto" w:fill="auto"/>
            <w:vAlign w:val="center"/>
            <w:hideMark/>
          </w:tcPr>
          <w:p w14:paraId="496F0D01"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No. Of studies</w:t>
            </w:r>
          </w:p>
        </w:tc>
        <w:tc>
          <w:tcPr>
            <w:tcW w:w="1860" w:type="dxa"/>
            <w:tcBorders>
              <w:top w:val="single" w:sz="4" w:space="0" w:color="auto"/>
              <w:left w:val="nil"/>
              <w:bottom w:val="single" w:sz="4" w:space="0" w:color="auto"/>
              <w:right w:val="nil"/>
            </w:tcBorders>
            <w:shd w:val="clear" w:color="auto" w:fill="auto"/>
            <w:vAlign w:val="center"/>
            <w:hideMark/>
          </w:tcPr>
          <w:p w14:paraId="4452AB1E" w14:textId="77777777" w:rsidR="008A0CED" w:rsidRPr="00EA02CC" w:rsidRDefault="008A0CED" w:rsidP="002E5C71">
            <w:pPr>
              <w:spacing w:line="240" w:lineRule="auto"/>
              <w:rPr>
                <w:rFonts w:ascii="Aptos Narrow" w:eastAsia="Times New Roman" w:hAnsi="Aptos Narrow" w:cs="Times New Roman"/>
                <w:color w:val="000000"/>
                <w:lang w:val="en-IN"/>
              </w:rPr>
            </w:pPr>
            <w:proofErr w:type="gramStart"/>
            <w:r w:rsidRPr="00EA02CC">
              <w:rPr>
                <w:rFonts w:ascii="Aptos Narrow" w:eastAsia="Times New Roman" w:hAnsi="Aptos Narrow" w:cs="Times New Roman"/>
                <w:color w:val="000000"/>
              </w:rPr>
              <w:t>No.of</w:t>
            </w:r>
            <w:proofErr w:type="gramEnd"/>
            <w:r w:rsidRPr="00EA02CC">
              <w:rPr>
                <w:rFonts w:ascii="Aptos Narrow" w:eastAsia="Times New Roman" w:hAnsi="Aptos Narrow" w:cs="Times New Roman"/>
                <w:color w:val="000000"/>
              </w:rPr>
              <w:t xml:space="preserve"> Effect sizes</w:t>
            </w:r>
          </w:p>
        </w:tc>
      </w:tr>
      <w:tr w:rsidR="008A0CED" w:rsidRPr="00EA02CC" w14:paraId="532B213B" w14:textId="77777777" w:rsidTr="002E5C71">
        <w:trPr>
          <w:trHeight w:val="580"/>
        </w:trPr>
        <w:tc>
          <w:tcPr>
            <w:tcW w:w="1840" w:type="dxa"/>
            <w:tcBorders>
              <w:top w:val="nil"/>
              <w:left w:val="nil"/>
              <w:bottom w:val="nil"/>
              <w:right w:val="nil"/>
            </w:tcBorders>
            <w:shd w:val="clear" w:color="auto" w:fill="auto"/>
            <w:vAlign w:val="center"/>
            <w:hideMark/>
          </w:tcPr>
          <w:p w14:paraId="43999742"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Political Security</w:t>
            </w:r>
          </w:p>
        </w:tc>
        <w:tc>
          <w:tcPr>
            <w:tcW w:w="1620" w:type="dxa"/>
            <w:tcBorders>
              <w:top w:val="nil"/>
              <w:left w:val="nil"/>
              <w:bottom w:val="nil"/>
              <w:right w:val="nil"/>
            </w:tcBorders>
            <w:shd w:val="clear" w:color="auto" w:fill="auto"/>
            <w:vAlign w:val="center"/>
            <w:hideMark/>
          </w:tcPr>
          <w:p w14:paraId="764C937E"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0.05</w:t>
            </w:r>
          </w:p>
        </w:tc>
        <w:tc>
          <w:tcPr>
            <w:tcW w:w="2040" w:type="dxa"/>
            <w:tcBorders>
              <w:top w:val="nil"/>
              <w:left w:val="nil"/>
              <w:bottom w:val="nil"/>
              <w:right w:val="nil"/>
            </w:tcBorders>
            <w:shd w:val="clear" w:color="auto" w:fill="auto"/>
            <w:vAlign w:val="center"/>
            <w:hideMark/>
          </w:tcPr>
          <w:p w14:paraId="72C344C7"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w:t>
            </w:r>
          </w:p>
        </w:tc>
        <w:tc>
          <w:tcPr>
            <w:tcW w:w="1860" w:type="dxa"/>
            <w:tcBorders>
              <w:top w:val="nil"/>
              <w:left w:val="nil"/>
              <w:bottom w:val="nil"/>
              <w:right w:val="nil"/>
            </w:tcBorders>
            <w:shd w:val="clear" w:color="auto" w:fill="auto"/>
            <w:vAlign w:val="center"/>
            <w:hideMark/>
          </w:tcPr>
          <w:p w14:paraId="483277CF"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4</w:t>
            </w:r>
          </w:p>
        </w:tc>
      </w:tr>
      <w:tr w:rsidR="008A0CED" w:rsidRPr="00EA02CC" w14:paraId="66877F47" w14:textId="77777777" w:rsidTr="002E5C71">
        <w:trPr>
          <w:trHeight w:val="580"/>
        </w:trPr>
        <w:tc>
          <w:tcPr>
            <w:tcW w:w="1840" w:type="dxa"/>
            <w:tcBorders>
              <w:top w:val="nil"/>
              <w:left w:val="nil"/>
              <w:bottom w:val="nil"/>
              <w:right w:val="nil"/>
            </w:tcBorders>
            <w:shd w:val="clear" w:color="auto" w:fill="auto"/>
            <w:vAlign w:val="center"/>
            <w:hideMark/>
          </w:tcPr>
          <w:p w14:paraId="38A6B6E4"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Civic Participation</w:t>
            </w:r>
          </w:p>
        </w:tc>
        <w:tc>
          <w:tcPr>
            <w:tcW w:w="1620" w:type="dxa"/>
            <w:tcBorders>
              <w:top w:val="nil"/>
              <w:left w:val="nil"/>
              <w:bottom w:val="nil"/>
              <w:right w:val="nil"/>
            </w:tcBorders>
            <w:shd w:val="clear" w:color="auto" w:fill="auto"/>
            <w:vAlign w:val="center"/>
            <w:hideMark/>
          </w:tcPr>
          <w:p w14:paraId="6EC3163A"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0.049</w:t>
            </w:r>
          </w:p>
        </w:tc>
        <w:tc>
          <w:tcPr>
            <w:tcW w:w="2040" w:type="dxa"/>
            <w:tcBorders>
              <w:top w:val="nil"/>
              <w:left w:val="nil"/>
              <w:bottom w:val="nil"/>
              <w:right w:val="nil"/>
            </w:tcBorders>
            <w:shd w:val="clear" w:color="auto" w:fill="auto"/>
            <w:vAlign w:val="center"/>
            <w:hideMark/>
          </w:tcPr>
          <w:p w14:paraId="4D38A143"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6</w:t>
            </w:r>
          </w:p>
        </w:tc>
        <w:tc>
          <w:tcPr>
            <w:tcW w:w="1860" w:type="dxa"/>
            <w:tcBorders>
              <w:top w:val="nil"/>
              <w:left w:val="nil"/>
              <w:bottom w:val="nil"/>
              <w:right w:val="nil"/>
            </w:tcBorders>
            <w:shd w:val="clear" w:color="auto" w:fill="auto"/>
            <w:vAlign w:val="center"/>
            <w:hideMark/>
          </w:tcPr>
          <w:p w14:paraId="108F5A4A"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13</w:t>
            </w:r>
          </w:p>
        </w:tc>
      </w:tr>
      <w:tr w:rsidR="008A0CED" w:rsidRPr="00EA02CC" w14:paraId="3239D788" w14:textId="77777777" w:rsidTr="002E5C71">
        <w:trPr>
          <w:trHeight w:val="870"/>
        </w:trPr>
        <w:tc>
          <w:tcPr>
            <w:tcW w:w="1840" w:type="dxa"/>
            <w:tcBorders>
              <w:top w:val="nil"/>
              <w:left w:val="nil"/>
              <w:bottom w:val="nil"/>
              <w:right w:val="nil"/>
            </w:tcBorders>
            <w:shd w:val="clear" w:color="auto" w:fill="auto"/>
            <w:vAlign w:val="center"/>
            <w:hideMark/>
          </w:tcPr>
          <w:p w14:paraId="772AC20C"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Nature &amp; scale of atrocity prevention</w:t>
            </w:r>
          </w:p>
        </w:tc>
        <w:tc>
          <w:tcPr>
            <w:tcW w:w="1620" w:type="dxa"/>
            <w:tcBorders>
              <w:top w:val="nil"/>
              <w:left w:val="nil"/>
              <w:bottom w:val="nil"/>
              <w:right w:val="nil"/>
            </w:tcBorders>
            <w:shd w:val="clear" w:color="auto" w:fill="auto"/>
            <w:vAlign w:val="center"/>
            <w:hideMark/>
          </w:tcPr>
          <w:p w14:paraId="3E633ED8"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0.014</w:t>
            </w:r>
          </w:p>
        </w:tc>
        <w:tc>
          <w:tcPr>
            <w:tcW w:w="2040" w:type="dxa"/>
            <w:tcBorders>
              <w:top w:val="nil"/>
              <w:left w:val="nil"/>
              <w:bottom w:val="nil"/>
              <w:right w:val="nil"/>
            </w:tcBorders>
            <w:shd w:val="clear" w:color="auto" w:fill="auto"/>
            <w:vAlign w:val="center"/>
            <w:hideMark/>
          </w:tcPr>
          <w:p w14:paraId="006EC14F"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w:t>
            </w:r>
          </w:p>
        </w:tc>
        <w:tc>
          <w:tcPr>
            <w:tcW w:w="1860" w:type="dxa"/>
            <w:tcBorders>
              <w:top w:val="nil"/>
              <w:left w:val="nil"/>
              <w:bottom w:val="nil"/>
              <w:right w:val="nil"/>
            </w:tcBorders>
            <w:shd w:val="clear" w:color="auto" w:fill="auto"/>
            <w:vAlign w:val="center"/>
            <w:hideMark/>
          </w:tcPr>
          <w:p w14:paraId="33FAA933"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6</w:t>
            </w:r>
          </w:p>
        </w:tc>
      </w:tr>
      <w:tr w:rsidR="008A0CED" w:rsidRPr="00EA02CC" w14:paraId="3790D1BC" w14:textId="77777777" w:rsidTr="002E5C71">
        <w:trPr>
          <w:trHeight w:val="1160"/>
        </w:trPr>
        <w:tc>
          <w:tcPr>
            <w:tcW w:w="1840" w:type="dxa"/>
            <w:tcBorders>
              <w:top w:val="nil"/>
              <w:left w:val="nil"/>
              <w:bottom w:val="nil"/>
              <w:right w:val="nil"/>
            </w:tcBorders>
            <w:shd w:val="clear" w:color="auto" w:fill="auto"/>
            <w:vAlign w:val="center"/>
            <w:hideMark/>
          </w:tcPr>
          <w:p w14:paraId="700E3EC1"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social norms of violence or atrocity prevention</w:t>
            </w:r>
          </w:p>
        </w:tc>
        <w:tc>
          <w:tcPr>
            <w:tcW w:w="1620" w:type="dxa"/>
            <w:tcBorders>
              <w:top w:val="nil"/>
              <w:left w:val="nil"/>
              <w:bottom w:val="nil"/>
              <w:right w:val="nil"/>
            </w:tcBorders>
            <w:shd w:val="clear" w:color="auto" w:fill="auto"/>
            <w:vAlign w:val="center"/>
            <w:hideMark/>
          </w:tcPr>
          <w:p w14:paraId="6D8A591A"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0.014</w:t>
            </w:r>
          </w:p>
        </w:tc>
        <w:tc>
          <w:tcPr>
            <w:tcW w:w="2040" w:type="dxa"/>
            <w:tcBorders>
              <w:top w:val="nil"/>
              <w:left w:val="nil"/>
              <w:bottom w:val="nil"/>
              <w:right w:val="nil"/>
            </w:tcBorders>
            <w:shd w:val="clear" w:color="auto" w:fill="auto"/>
            <w:vAlign w:val="center"/>
            <w:hideMark/>
          </w:tcPr>
          <w:p w14:paraId="6F891ABA"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9</w:t>
            </w:r>
          </w:p>
        </w:tc>
        <w:tc>
          <w:tcPr>
            <w:tcW w:w="1860" w:type="dxa"/>
            <w:tcBorders>
              <w:top w:val="nil"/>
              <w:left w:val="nil"/>
              <w:bottom w:val="nil"/>
              <w:right w:val="nil"/>
            </w:tcBorders>
            <w:shd w:val="clear" w:color="auto" w:fill="auto"/>
            <w:vAlign w:val="center"/>
            <w:hideMark/>
          </w:tcPr>
          <w:p w14:paraId="79D33B24"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54</w:t>
            </w:r>
          </w:p>
        </w:tc>
      </w:tr>
      <w:tr w:rsidR="008A0CED" w:rsidRPr="00EA02CC" w14:paraId="24515037" w14:textId="77777777" w:rsidTr="002E5C71">
        <w:trPr>
          <w:trHeight w:val="870"/>
        </w:trPr>
        <w:tc>
          <w:tcPr>
            <w:tcW w:w="1840" w:type="dxa"/>
            <w:tcBorders>
              <w:top w:val="nil"/>
              <w:left w:val="nil"/>
              <w:bottom w:val="nil"/>
              <w:right w:val="nil"/>
            </w:tcBorders>
            <w:shd w:val="clear" w:color="auto" w:fill="auto"/>
            <w:vAlign w:val="center"/>
            <w:hideMark/>
          </w:tcPr>
          <w:p w14:paraId="49CAE44D"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Intermediate Social Cohesion Outcome</w:t>
            </w:r>
          </w:p>
        </w:tc>
        <w:tc>
          <w:tcPr>
            <w:tcW w:w="1620" w:type="dxa"/>
            <w:tcBorders>
              <w:top w:val="nil"/>
              <w:left w:val="nil"/>
              <w:bottom w:val="nil"/>
              <w:right w:val="nil"/>
            </w:tcBorders>
            <w:shd w:val="clear" w:color="auto" w:fill="auto"/>
            <w:vAlign w:val="center"/>
            <w:hideMark/>
          </w:tcPr>
          <w:p w14:paraId="07A530FF"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0.025</w:t>
            </w:r>
          </w:p>
        </w:tc>
        <w:tc>
          <w:tcPr>
            <w:tcW w:w="2040" w:type="dxa"/>
            <w:tcBorders>
              <w:top w:val="nil"/>
              <w:left w:val="nil"/>
              <w:bottom w:val="nil"/>
              <w:right w:val="nil"/>
            </w:tcBorders>
            <w:shd w:val="clear" w:color="auto" w:fill="auto"/>
            <w:vAlign w:val="center"/>
            <w:hideMark/>
          </w:tcPr>
          <w:p w14:paraId="67556400"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6</w:t>
            </w:r>
          </w:p>
        </w:tc>
        <w:tc>
          <w:tcPr>
            <w:tcW w:w="1860" w:type="dxa"/>
            <w:tcBorders>
              <w:top w:val="nil"/>
              <w:left w:val="nil"/>
              <w:bottom w:val="nil"/>
              <w:right w:val="nil"/>
            </w:tcBorders>
            <w:shd w:val="clear" w:color="auto" w:fill="auto"/>
            <w:vAlign w:val="center"/>
            <w:hideMark/>
          </w:tcPr>
          <w:p w14:paraId="51EA4B23"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40</w:t>
            </w:r>
          </w:p>
        </w:tc>
      </w:tr>
      <w:tr w:rsidR="008A0CED" w:rsidRPr="00EA02CC" w14:paraId="1254AEA3" w14:textId="77777777" w:rsidTr="002E5C71">
        <w:trPr>
          <w:trHeight w:val="870"/>
        </w:trPr>
        <w:tc>
          <w:tcPr>
            <w:tcW w:w="1840" w:type="dxa"/>
            <w:tcBorders>
              <w:top w:val="nil"/>
              <w:left w:val="nil"/>
              <w:bottom w:val="nil"/>
              <w:right w:val="nil"/>
            </w:tcBorders>
            <w:shd w:val="clear" w:color="auto" w:fill="auto"/>
            <w:vAlign w:val="center"/>
            <w:hideMark/>
          </w:tcPr>
          <w:p w14:paraId="5E7F00EE"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Feelings of trust &amp; Acceptance of diversity</w:t>
            </w:r>
          </w:p>
        </w:tc>
        <w:tc>
          <w:tcPr>
            <w:tcW w:w="1620" w:type="dxa"/>
            <w:tcBorders>
              <w:top w:val="nil"/>
              <w:left w:val="nil"/>
              <w:bottom w:val="nil"/>
              <w:right w:val="nil"/>
            </w:tcBorders>
            <w:shd w:val="clear" w:color="auto" w:fill="auto"/>
            <w:vAlign w:val="center"/>
            <w:hideMark/>
          </w:tcPr>
          <w:p w14:paraId="49539815"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0.015</w:t>
            </w:r>
          </w:p>
        </w:tc>
        <w:tc>
          <w:tcPr>
            <w:tcW w:w="2040" w:type="dxa"/>
            <w:tcBorders>
              <w:top w:val="nil"/>
              <w:left w:val="nil"/>
              <w:bottom w:val="nil"/>
              <w:right w:val="nil"/>
            </w:tcBorders>
            <w:shd w:val="clear" w:color="auto" w:fill="auto"/>
            <w:vAlign w:val="center"/>
            <w:hideMark/>
          </w:tcPr>
          <w:p w14:paraId="26FE2D81"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9</w:t>
            </w:r>
          </w:p>
        </w:tc>
        <w:tc>
          <w:tcPr>
            <w:tcW w:w="1860" w:type="dxa"/>
            <w:tcBorders>
              <w:top w:val="nil"/>
              <w:left w:val="nil"/>
              <w:bottom w:val="nil"/>
              <w:right w:val="nil"/>
            </w:tcBorders>
            <w:shd w:val="clear" w:color="auto" w:fill="auto"/>
            <w:vAlign w:val="center"/>
            <w:hideMark/>
          </w:tcPr>
          <w:p w14:paraId="00247978"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49</w:t>
            </w:r>
          </w:p>
        </w:tc>
      </w:tr>
      <w:tr w:rsidR="008A0CED" w:rsidRPr="00EA02CC" w14:paraId="68BE98D4" w14:textId="77777777" w:rsidTr="002E5C71">
        <w:trPr>
          <w:trHeight w:val="580"/>
        </w:trPr>
        <w:tc>
          <w:tcPr>
            <w:tcW w:w="1840" w:type="dxa"/>
            <w:tcBorders>
              <w:top w:val="nil"/>
              <w:left w:val="nil"/>
              <w:bottom w:val="nil"/>
              <w:right w:val="nil"/>
            </w:tcBorders>
            <w:shd w:val="clear" w:color="auto" w:fill="auto"/>
            <w:vAlign w:val="center"/>
            <w:hideMark/>
          </w:tcPr>
          <w:p w14:paraId="55BC65FA"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Government Performance</w:t>
            </w:r>
          </w:p>
        </w:tc>
        <w:tc>
          <w:tcPr>
            <w:tcW w:w="1620" w:type="dxa"/>
            <w:tcBorders>
              <w:top w:val="nil"/>
              <w:left w:val="nil"/>
              <w:bottom w:val="nil"/>
              <w:right w:val="nil"/>
            </w:tcBorders>
            <w:shd w:val="clear" w:color="auto" w:fill="auto"/>
            <w:vAlign w:val="center"/>
            <w:hideMark/>
          </w:tcPr>
          <w:p w14:paraId="37A109F5"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0.006</w:t>
            </w:r>
          </w:p>
        </w:tc>
        <w:tc>
          <w:tcPr>
            <w:tcW w:w="2040" w:type="dxa"/>
            <w:tcBorders>
              <w:top w:val="nil"/>
              <w:left w:val="nil"/>
              <w:bottom w:val="nil"/>
              <w:right w:val="nil"/>
            </w:tcBorders>
            <w:shd w:val="clear" w:color="auto" w:fill="auto"/>
            <w:vAlign w:val="center"/>
            <w:hideMark/>
          </w:tcPr>
          <w:p w14:paraId="3807DBC3"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2</w:t>
            </w:r>
          </w:p>
        </w:tc>
        <w:tc>
          <w:tcPr>
            <w:tcW w:w="1860" w:type="dxa"/>
            <w:tcBorders>
              <w:top w:val="nil"/>
              <w:left w:val="nil"/>
              <w:bottom w:val="nil"/>
              <w:right w:val="nil"/>
            </w:tcBorders>
            <w:shd w:val="clear" w:color="auto" w:fill="auto"/>
            <w:vAlign w:val="center"/>
            <w:hideMark/>
          </w:tcPr>
          <w:p w14:paraId="2086A6ED"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14</w:t>
            </w:r>
          </w:p>
        </w:tc>
      </w:tr>
      <w:tr w:rsidR="008A0CED" w:rsidRPr="00EA02CC" w14:paraId="67F870B3" w14:textId="77777777" w:rsidTr="002E5C71">
        <w:trPr>
          <w:trHeight w:val="870"/>
        </w:trPr>
        <w:tc>
          <w:tcPr>
            <w:tcW w:w="1840" w:type="dxa"/>
            <w:tcBorders>
              <w:top w:val="nil"/>
              <w:left w:val="nil"/>
              <w:bottom w:val="nil"/>
              <w:right w:val="nil"/>
            </w:tcBorders>
            <w:shd w:val="clear" w:color="auto" w:fill="auto"/>
            <w:vAlign w:val="center"/>
            <w:hideMark/>
          </w:tcPr>
          <w:p w14:paraId="72F9E8D6"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Willingness to participate or help</w:t>
            </w:r>
          </w:p>
        </w:tc>
        <w:tc>
          <w:tcPr>
            <w:tcW w:w="1620" w:type="dxa"/>
            <w:tcBorders>
              <w:top w:val="nil"/>
              <w:left w:val="nil"/>
              <w:bottom w:val="nil"/>
              <w:right w:val="nil"/>
            </w:tcBorders>
            <w:shd w:val="clear" w:color="auto" w:fill="auto"/>
            <w:vAlign w:val="center"/>
            <w:hideMark/>
          </w:tcPr>
          <w:p w14:paraId="78664230"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0.108</w:t>
            </w:r>
          </w:p>
        </w:tc>
        <w:tc>
          <w:tcPr>
            <w:tcW w:w="2040" w:type="dxa"/>
            <w:tcBorders>
              <w:top w:val="nil"/>
              <w:left w:val="nil"/>
              <w:bottom w:val="nil"/>
              <w:right w:val="nil"/>
            </w:tcBorders>
            <w:shd w:val="clear" w:color="auto" w:fill="auto"/>
            <w:vAlign w:val="center"/>
            <w:hideMark/>
          </w:tcPr>
          <w:p w14:paraId="060633BC"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4</w:t>
            </w:r>
          </w:p>
        </w:tc>
        <w:tc>
          <w:tcPr>
            <w:tcW w:w="1860" w:type="dxa"/>
            <w:tcBorders>
              <w:top w:val="nil"/>
              <w:left w:val="nil"/>
              <w:bottom w:val="nil"/>
              <w:right w:val="nil"/>
            </w:tcBorders>
            <w:shd w:val="clear" w:color="auto" w:fill="auto"/>
            <w:vAlign w:val="center"/>
            <w:hideMark/>
          </w:tcPr>
          <w:p w14:paraId="36FB765C"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19</w:t>
            </w:r>
          </w:p>
        </w:tc>
      </w:tr>
      <w:tr w:rsidR="008A0CED" w:rsidRPr="00EA02CC" w14:paraId="7B9DF193" w14:textId="77777777" w:rsidTr="002E5C71">
        <w:trPr>
          <w:trHeight w:val="870"/>
        </w:trPr>
        <w:tc>
          <w:tcPr>
            <w:tcW w:w="1840" w:type="dxa"/>
            <w:tcBorders>
              <w:top w:val="nil"/>
              <w:left w:val="nil"/>
              <w:bottom w:val="nil"/>
              <w:right w:val="nil"/>
            </w:tcBorders>
            <w:shd w:val="clear" w:color="auto" w:fill="auto"/>
            <w:vAlign w:val="center"/>
            <w:hideMark/>
          </w:tcPr>
          <w:p w14:paraId="41087598"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Access to Justice, right &amp; Public Services</w:t>
            </w:r>
          </w:p>
        </w:tc>
        <w:tc>
          <w:tcPr>
            <w:tcW w:w="1620" w:type="dxa"/>
            <w:tcBorders>
              <w:top w:val="nil"/>
              <w:left w:val="nil"/>
              <w:bottom w:val="nil"/>
              <w:right w:val="nil"/>
            </w:tcBorders>
            <w:shd w:val="clear" w:color="auto" w:fill="auto"/>
            <w:vAlign w:val="center"/>
            <w:hideMark/>
          </w:tcPr>
          <w:p w14:paraId="7C9417A4"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0.148</w:t>
            </w:r>
          </w:p>
        </w:tc>
        <w:tc>
          <w:tcPr>
            <w:tcW w:w="2040" w:type="dxa"/>
            <w:tcBorders>
              <w:top w:val="nil"/>
              <w:left w:val="nil"/>
              <w:bottom w:val="nil"/>
              <w:right w:val="nil"/>
            </w:tcBorders>
            <w:shd w:val="clear" w:color="auto" w:fill="auto"/>
            <w:vAlign w:val="center"/>
            <w:hideMark/>
          </w:tcPr>
          <w:p w14:paraId="585BDD19"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w:t>
            </w:r>
          </w:p>
        </w:tc>
        <w:tc>
          <w:tcPr>
            <w:tcW w:w="1860" w:type="dxa"/>
            <w:tcBorders>
              <w:top w:val="nil"/>
              <w:left w:val="nil"/>
              <w:bottom w:val="nil"/>
              <w:right w:val="nil"/>
            </w:tcBorders>
            <w:shd w:val="clear" w:color="auto" w:fill="auto"/>
            <w:vAlign w:val="center"/>
            <w:hideMark/>
          </w:tcPr>
          <w:p w14:paraId="573DDEEC"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9</w:t>
            </w:r>
          </w:p>
        </w:tc>
      </w:tr>
      <w:tr w:rsidR="008A0CED" w:rsidRPr="00EA02CC" w14:paraId="1E5E8C36" w14:textId="77777777" w:rsidTr="002E5C71">
        <w:trPr>
          <w:trHeight w:val="580"/>
        </w:trPr>
        <w:tc>
          <w:tcPr>
            <w:tcW w:w="1840" w:type="dxa"/>
            <w:tcBorders>
              <w:top w:val="nil"/>
              <w:left w:val="nil"/>
              <w:bottom w:val="single" w:sz="4" w:space="0" w:color="auto"/>
              <w:right w:val="nil"/>
            </w:tcBorders>
            <w:shd w:val="clear" w:color="auto" w:fill="auto"/>
            <w:vAlign w:val="center"/>
            <w:hideMark/>
          </w:tcPr>
          <w:p w14:paraId="75499F8B" w14:textId="77777777" w:rsidR="008A0CED" w:rsidRPr="00EA02CC" w:rsidRDefault="008A0CED" w:rsidP="002E5C71">
            <w:pPr>
              <w:spacing w:line="240" w:lineRule="auto"/>
              <w:rPr>
                <w:rFonts w:ascii="Aptos Narrow" w:eastAsia="Times New Roman" w:hAnsi="Aptos Narrow" w:cs="Times New Roman"/>
                <w:color w:val="000000"/>
                <w:lang w:val="en-IN"/>
              </w:rPr>
            </w:pPr>
            <w:r w:rsidRPr="00EA02CC">
              <w:rPr>
                <w:rFonts w:ascii="Aptos Narrow" w:eastAsia="Times New Roman" w:hAnsi="Aptos Narrow" w:cs="Times New Roman"/>
                <w:color w:val="000000"/>
              </w:rPr>
              <w:t>Economic Security</w:t>
            </w:r>
          </w:p>
        </w:tc>
        <w:tc>
          <w:tcPr>
            <w:tcW w:w="1620" w:type="dxa"/>
            <w:tcBorders>
              <w:top w:val="nil"/>
              <w:left w:val="nil"/>
              <w:bottom w:val="single" w:sz="4" w:space="0" w:color="auto"/>
              <w:right w:val="nil"/>
            </w:tcBorders>
            <w:shd w:val="clear" w:color="auto" w:fill="auto"/>
            <w:vAlign w:val="center"/>
            <w:hideMark/>
          </w:tcPr>
          <w:p w14:paraId="247A7D2D"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-0.013</w:t>
            </w:r>
          </w:p>
        </w:tc>
        <w:tc>
          <w:tcPr>
            <w:tcW w:w="2040" w:type="dxa"/>
            <w:tcBorders>
              <w:top w:val="nil"/>
              <w:left w:val="nil"/>
              <w:bottom w:val="single" w:sz="4" w:space="0" w:color="auto"/>
              <w:right w:val="nil"/>
            </w:tcBorders>
            <w:shd w:val="clear" w:color="auto" w:fill="auto"/>
            <w:vAlign w:val="center"/>
            <w:hideMark/>
          </w:tcPr>
          <w:p w14:paraId="0A20ED8F"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1</w:t>
            </w:r>
          </w:p>
        </w:tc>
        <w:tc>
          <w:tcPr>
            <w:tcW w:w="1860" w:type="dxa"/>
            <w:tcBorders>
              <w:top w:val="nil"/>
              <w:left w:val="nil"/>
              <w:bottom w:val="single" w:sz="4" w:space="0" w:color="auto"/>
              <w:right w:val="nil"/>
            </w:tcBorders>
            <w:shd w:val="clear" w:color="auto" w:fill="auto"/>
            <w:vAlign w:val="center"/>
            <w:hideMark/>
          </w:tcPr>
          <w:p w14:paraId="2C4641FF" w14:textId="77777777" w:rsidR="008A0CED" w:rsidRPr="00EA02CC" w:rsidRDefault="008A0CED" w:rsidP="002E5C71">
            <w:pPr>
              <w:spacing w:line="240" w:lineRule="auto"/>
              <w:jc w:val="right"/>
              <w:rPr>
                <w:rFonts w:ascii="Aptos Narrow" w:eastAsia="Times New Roman" w:hAnsi="Aptos Narrow" w:cs="Times New Roman"/>
                <w:color w:val="000000"/>
                <w:lang w:val="en-IN"/>
              </w:rPr>
            </w:pPr>
            <w:r w:rsidRPr="00EA02CC">
              <w:rPr>
                <w:rFonts w:ascii="Aptos Narrow" w:eastAsia="Times New Roman" w:hAnsi="Aptos Narrow" w:cs="Times New Roman"/>
                <w:color w:val="000000"/>
              </w:rPr>
              <w:t>3</w:t>
            </w:r>
          </w:p>
        </w:tc>
      </w:tr>
    </w:tbl>
    <w:p w14:paraId="2C35AC6A" w14:textId="77777777" w:rsidR="008A0CED" w:rsidRPr="006D2DBC" w:rsidRDefault="008A0CED" w:rsidP="008A0CED">
      <w:pPr>
        <w:spacing w:line="240" w:lineRule="auto"/>
        <w:rPr>
          <w:rFonts w:ascii="Aptos Narrow" w:eastAsia="Times New Roman" w:hAnsi="Aptos Narrow" w:cs="Times New Roman"/>
          <w:color w:val="000000"/>
          <w:lang w:eastAsia="en-GB"/>
        </w:rPr>
      </w:pPr>
    </w:p>
    <w:p w14:paraId="22242C36" w14:textId="77777777" w:rsidR="008A0CED" w:rsidRPr="003B2A31" w:rsidRDefault="008A0CED" w:rsidP="008A0CED">
      <w:pPr>
        <w:pStyle w:val="Heading3"/>
        <w:rPr>
          <w:b/>
          <w:bCs/>
        </w:rPr>
      </w:pPr>
      <w:bookmarkStart w:id="4" w:name="_Toc193464443"/>
      <w:r>
        <w:rPr>
          <w:b/>
          <w:bCs/>
        </w:rPr>
        <w:lastRenderedPageBreak/>
        <w:br/>
      </w:r>
      <w:r w:rsidRPr="003B2A31">
        <w:rPr>
          <w:b/>
          <w:bCs/>
        </w:rPr>
        <w:t>Civil Society – Social funds, community-driven development, and reconstruction efforts.</w:t>
      </w:r>
      <w:bookmarkEnd w:id="4"/>
    </w:p>
    <w:p w14:paraId="60C0D4F4" w14:textId="77777777" w:rsidR="008A0CED" w:rsidRPr="00E050D8" w:rsidRDefault="008A0CED" w:rsidP="008A0CED">
      <w:pPr>
        <w:spacing w:afterLines="80" w:after="192" w:line="312" w:lineRule="auto"/>
        <w:rPr>
          <w:lang w:val="en-IN"/>
        </w:rPr>
      </w:pPr>
    </w:p>
    <w:p w14:paraId="60B67D77" w14:textId="77777777" w:rsidR="008A0CED" w:rsidRPr="00E050D8" w:rsidRDefault="008A0CED" w:rsidP="008A0CED">
      <w:pPr>
        <w:spacing w:afterLines="80" w:after="192" w:line="312" w:lineRule="auto"/>
        <w:rPr>
          <w:lang w:val="en-IN"/>
        </w:rPr>
      </w:pPr>
      <w:r w:rsidRPr="00E050D8">
        <w:rPr>
          <w:lang w:val="en-IN"/>
        </w:rPr>
        <w:t xml:space="preserve">Social funds, community-driven development (CDD) programs </w:t>
      </w:r>
      <w:proofErr w:type="gramStart"/>
      <w:r w:rsidRPr="00E050D8">
        <w:rPr>
          <w:lang w:val="en-IN"/>
        </w:rPr>
        <w:t>includes</w:t>
      </w:r>
      <w:proofErr w:type="gramEnd"/>
      <w:r w:rsidRPr="00E050D8">
        <w:rPr>
          <w:lang w:val="en-IN"/>
        </w:rPr>
        <w:t xml:space="preserve"> interventions such as local governance initiatives, and infrastructure projects. Programs like NSP, GoBifo, and Tuungane promoted local governance and economic empowerment, while CERP focused on rapid-response reconstruction.</w:t>
      </w:r>
    </w:p>
    <w:p w14:paraId="53F81C7D" w14:textId="77777777" w:rsidR="008A0CED" w:rsidRPr="00E050D8" w:rsidRDefault="008A0CED" w:rsidP="008A0CED">
      <w:pPr>
        <w:spacing w:afterLines="80" w:after="192" w:line="312" w:lineRule="auto"/>
        <w:rPr>
          <w:lang w:val="en-IN"/>
        </w:rPr>
      </w:pPr>
      <w:r w:rsidRPr="00E050D8">
        <w:rPr>
          <w:lang w:val="en-IN"/>
        </w:rPr>
        <w:t>These interventions had no effect on diplomatic relations and peaceful dispute resolution. While NSP initially increased disputes due to block grant competition, this effect faded over time. Similarly, there was no pooled effect on the nature and scale of violence and atrocities—some interventions had effects in reducing violence, others had no impact, and a few increased conflict casualties.</w:t>
      </w:r>
    </w:p>
    <w:p w14:paraId="7069D494" w14:textId="77777777" w:rsidR="008A0CED" w:rsidRPr="00E050D8" w:rsidRDefault="008A0CED" w:rsidP="008A0CED">
      <w:pPr>
        <w:spacing w:afterLines="80" w:after="192" w:line="312" w:lineRule="auto"/>
        <w:rPr>
          <w:lang w:val="en-IN"/>
        </w:rPr>
      </w:pPr>
      <w:r w:rsidRPr="00E050D8">
        <w:rPr>
          <w:lang w:val="en-IN"/>
        </w:rPr>
        <w:t>The programs had large effects on access to justice, rights, and public services, significantly improving education, water, and electricity access. However, governance effects were weak, women's empowerment was limited, and there was no improvement in irrigation, transportation, or health services. Local governance participation increased in some cases, but broader transparency and accountability remained weak.</w:t>
      </w:r>
    </w:p>
    <w:p w14:paraId="270D248F" w14:textId="77777777" w:rsidR="008A0CED" w:rsidRPr="00E050D8" w:rsidRDefault="008A0CED" w:rsidP="008A0CED">
      <w:pPr>
        <w:spacing w:afterLines="80" w:after="192" w:line="312" w:lineRule="auto"/>
        <w:rPr>
          <w:lang w:val="en-IN"/>
        </w:rPr>
      </w:pPr>
      <w:r w:rsidRPr="00E050D8">
        <w:rPr>
          <w:lang w:val="en-IN"/>
        </w:rPr>
        <w:t>Civic engagement saw a moderate effect, with increased governance participation, women’s inclusion, and electoral engagement, though gains were often temporary. It showed a small effect on economic security, with minor increases in income, expenditures, and asset ownership but no effect on long-term employment or productivity. It also had a small effect on educational security, improving infrastructure but failing to enhance learning outcomes, school attendance, or institutional accountability.</w:t>
      </w:r>
    </w:p>
    <w:p w14:paraId="3E403FEA" w14:textId="77777777" w:rsidR="008A0CED" w:rsidRPr="00E050D8" w:rsidRDefault="008A0CED" w:rsidP="008A0CED">
      <w:pPr>
        <w:spacing w:afterLines="80" w:after="192" w:line="312" w:lineRule="auto"/>
        <w:rPr>
          <w:lang w:val="en-IN"/>
        </w:rPr>
      </w:pPr>
      <w:r w:rsidRPr="00E050D8">
        <w:rPr>
          <w:lang w:val="en-IN"/>
        </w:rPr>
        <w:t>The intervention has no effect on environmental security, with some irrigation and land-use projects leading to unintended degradation. Security perceptions improved slightly, but actual violence and insurgent activity were not reduced.</w:t>
      </w:r>
    </w:p>
    <w:p w14:paraId="41E0D62A" w14:textId="77777777" w:rsidR="008A0CED" w:rsidRDefault="008A0CED" w:rsidP="008A0CED">
      <w:pPr>
        <w:spacing w:afterLines="80" w:after="192" w:line="312" w:lineRule="auto"/>
        <w:rPr>
          <w:lang w:val="en-IN"/>
        </w:rPr>
      </w:pPr>
      <w:r w:rsidRPr="00E050D8">
        <w:rPr>
          <w:lang w:val="en-IN"/>
        </w:rPr>
        <w:t>Overall, while these interventions had large effects on public services and small effects on economic and educational security, their long-term impact on governance, security, and stability remained limited. Sustainable outcomes depended on institutional stability, community involvement, and governance engagement.</w:t>
      </w:r>
    </w:p>
    <w:p w14:paraId="6984E126" w14:textId="77777777" w:rsidR="008A0CED" w:rsidRDefault="008A0CED" w:rsidP="008A0CED">
      <w:pPr>
        <w:spacing w:afterLines="80" w:after="192" w:line="312" w:lineRule="auto"/>
        <w:rPr>
          <w:lang w:val="en-IN"/>
        </w:rPr>
      </w:pPr>
    </w:p>
    <w:p w14:paraId="29BE4B1E" w14:textId="77777777" w:rsidR="008A0CED" w:rsidRDefault="008A0CED" w:rsidP="008A0CED">
      <w:pPr>
        <w:spacing w:afterLines="80" w:after="192" w:line="312" w:lineRule="auto"/>
        <w:rPr>
          <w:lang w:val="en-IN"/>
        </w:rPr>
      </w:pPr>
    </w:p>
    <w:p w14:paraId="04548F59" w14:textId="77777777" w:rsidR="008A0CED" w:rsidRDefault="008A0CED" w:rsidP="008A0CED">
      <w:pPr>
        <w:spacing w:afterLines="80" w:after="192" w:line="312" w:lineRule="auto"/>
        <w:rPr>
          <w:lang w:val="en-IN"/>
        </w:rPr>
      </w:pPr>
    </w:p>
    <w:p w14:paraId="3B0C0DD1" w14:textId="77777777" w:rsidR="008A0CED" w:rsidRDefault="008A0CED" w:rsidP="008A0CED">
      <w:pPr>
        <w:spacing w:afterLines="80" w:after="192" w:line="312" w:lineRule="auto"/>
        <w:rPr>
          <w:lang w:val="en-IN"/>
        </w:rPr>
      </w:pPr>
    </w:p>
    <w:p w14:paraId="587AE583" w14:textId="77777777" w:rsidR="008A0CED" w:rsidRPr="00E050D8" w:rsidRDefault="008A0CED" w:rsidP="008A0CED">
      <w:pPr>
        <w:spacing w:afterLines="80" w:after="192" w:line="312" w:lineRule="auto"/>
        <w:rPr>
          <w:lang w:val="en-IN"/>
        </w:rPr>
      </w:pPr>
    </w:p>
    <w:p w14:paraId="7DC3C394" w14:textId="77777777" w:rsidR="008A0CED" w:rsidRPr="003B2A31" w:rsidRDefault="008A0CED" w:rsidP="008A0CED">
      <w:pPr>
        <w:rPr>
          <w:b/>
          <w:bCs/>
          <w:lang w:val="en-IN"/>
        </w:rPr>
      </w:pPr>
      <w:r w:rsidRPr="008E28E8">
        <w:rPr>
          <w:b/>
          <w:bCs/>
          <w:lang w:val="en-IN"/>
        </w:rPr>
        <w:t>Table 7 - Social funds, community-driven development, and reconstruction efforts.</w:t>
      </w:r>
    </w:p>
    <w:tbl>
      <w:tblPr>
        <w:tblW w:w="7360" w:type="dxa"/>
        <w:tblLook w:val="04A0" w:firstRow="1" w:lastRow="0" w:firstColumn="1" w:lastColumn="0" w:noHBand="0" w:noVBand="1"/>
      </w:tblPr>
      <w:tblGrid>
        <w:gridCol w:w="1840"/>
        <w:gridCol w:w="2040"/>
        <w:gridCol w:w="1620"/>
        <w:gridCol w:w="1860"/>
      </w:tblGrid>
      <w:tr w:rsidR="008A0CED" w:rsidRPr="00EA02CC" w14:paraId="05A830F4" w14:textId="77777777" w:rsidTr="002E5C71">
        <w:trPr>
          <w:trHeight w:val="560"/>
        </w:trPr>
        <w:tc>
          <w:tcPr>
            <w:tcW w:w="1840" w:type="dxa"/>
            <w:tcBorders>
              <w:top w:val="single" w:sz="4" w:space="0" w:color="auto"/>
              <w:left w:val="nil"/>
              <w:bottom w:val="single" w:sz="4" w:space="0" w:color="auto"/>
              <w:right w:val="nil"/>
            </w:tcBorders>
            <w:shd w:val="clear" w:color="auto" w:fill="auto"/>
            <w:vAlign w:val="center"/>
            <w:hideMark/>
          </w:tcPr>
          <w:p w14:paraId="5A3301AB"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Outcome Category</w:t>
            </w:r>
          </w:p>
        </w:tc>
        <w:tc>
          <w:tcPr>
            <w:tcW w:w="2040" w:type="dxa"/>
            <w:tcBorders>
              <w:top w:val="single" w:sz="4" w:space="0" w:color="auto"/>
              <w:left w:val="nil"/>
              <w:bottom w:val="single" w:sz="4" w:space="0" w:color="auto"/>
              <w:right w:val="nil"/>
            </w:tcBorders>
            <w:shd w:val="clear" w:color="auto" w:fill="auto"/>
            <w:vAlign w:val="center"/>
            <w:hideMark/>
          </w:tcPr>
          <w:p w14:paraId="71D3F587"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Effect Size </w:t>
            </w:r>
          </w:p>
        </w:tc>
        <w:tc>
          <w:tcPr>
            <w:tcW w:w="1620" w:type="dxa"/>
            <w:tcBorders>
              <w:top w:val="single" w:sz="4" w:space="0" w:color="auto"/>
              <w:left w:val="nil"/>
              <w:bottom w:val="single" w:sz="4" w:space="0" w:color="auto"/>
              <w:right w:val="nil"/>
            </w:tcBorders>
            <w:shd w:val="clear" w:color="auto" w:fill="auto"/>
            <w:vAlign w:val="center"/>
            <w:hideMark/>
          </w:tcPr>
          <w:p w14:paraId="6B7F3846"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No. of studies</w:t>
            </w:r>
          </w:p>
        </w:tc>
        <w:tc>
          <w:tcPr>
            <w:tcW w:w="1860" w:type="dxa"/>
            <w:tcBorders>
              <w:top w:val="single" w:sz="4" w:space="0" w:color="auto"/>
              <w:left w:val="nil"/>
              <w:bottom w:val="single" w:sz="4" w:space="0" w:color="auto"/>
              <w:right w:val="nil"/>
            </w:tcBorders>
            <w:shd w:val="clear" w:color="auto" w:fill="auto"/>
            <w:vAlign w:val="center"/>
            <w:hideMark/>
          </w:tcPr>
          <w:p w14:paraId="0A9EB591"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No of Effect size </w:t>
            </w:r>
          </w:p>
        </w:tc>
      </w:tr>
      <w:tr w:rsidR="008A0CED" w:rsidRPr="00EA02CC" w14:paraId="59C885DD" w14:textId="77777777" w:rsidTr="002E5C71">
        <w:trPr>
          <w:trHeight w:val="1120"/>
        </w:trPr>
        <w:tc>
          <w:tcPr>
            <w:tcW w:w="1840" w:type="dxa"/>
            <w:tcBorders>
              <w:top w:val="nil"/>
              <w:left w:val="nil"/>
              <w:bottom w:val="nil"/>
              <w:right w:val="nil"/>
            </w:tcBorders>
            <w:shd w:val="clear" w:color="auto" w:fill="auto"/>
            <w:vAlign w:val="center"/>
            <w:hideMark/>
          </w:tcPr>
          <w:p w14:paraId="206AB9BD"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diplomatic relations &amp; peaceful dispute resolution</w:t>
            </w:r>
          </w:p>
        </w:tc>
        <w:tc>
          <w:tcPr>
            <w:tcW w:w="2040" w:type="dxa"/>
            <w:tcBorders>
              <w:top w:val="nil"/>
              <w:left w:val="nil"/>
              <w:bottom w:val="nil"/>
              <w:right w:val="nil"/>
            </w:tcBorders>
            <w:shd w:val="clear" w:color="auto" w:fill="auto"/>
            <w:vAlign w:val="center"/>
            <w:hideMark/>
          </w:tcPr>
          <w:p w14:paraId="39644ADF"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0.004</w:t>
            </w:r>
          </w:p>
        </w:tc>
        <w:tc>
          <w:tcPr>
            <w:tcW w:w="1620" w:type="dxa"/>
            <w:tcBorders>
              <w:top w:val="nil"/>
              <w:left w:val="nil"/>
              <w:bottom w:val="nil"/>
              <w:right w:val="nil"/>
            </w:tcBorders>
            <w:shd w:val="clear" w:color="auto" w:fill="auto"/>
            <w:vAlign w:val="center"/>
            <w:hideMark/>
          </w:tcPr>
          <w:p w14:paraId="5799243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c>
          <w:tcPr>
            <w:tcW w:w="1860" w:type="dxa"/>
            <w:tcBorders>
              <w:top w:val="nil"/>
              <w:left w:val="nil"/>
              <w:bottom w:val="nil"/>
              <w:right w:val="nil"/>
            </w:tcBorders>
            <w:shd w:val="clear" w:color="auto" w:fill="auto"/>
            <w:vAlign w:val="center"/>
            <w:hideMark/>
          </w:tcPr>
          <w:p w14:paraId="290FAF65"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r>
      <w:tr w:rsidR="008A0CED" w:rsidRPr="00EA02CC" w14:paraId="6058FEFA" w14:textId="77777777" w:rsidTr="002E5C71">
        <w:trPr>
          <w:trHeight w:val="840"/>
        </w:trPr>
        <w:tc>
          <w:tcPr>
            <w:tcW w:w="1840" w:type="dxa"/>
            <w:tcBorders>
              <w:top w:val="nil"/>
              <w:left w:val="nil"/>
              <w:bottom w:val="nil"/>
              <w:right w:val="nil"/>
            </w:tcBorders>
            <w:shd w:val="clear" w:color="auto" w:fill="auto"/>
            <w:vAlign w:val="center"/>
            <w:hideMark/>
          </w:tcPr>
          <w:p w14:paraId="7CC456C2"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nature and scale of violence and atrocities</w:t>
            </w:r>
          </w:p>
        </w:tc>
        <w:tc>
          <w:tcPr>
            <w:tcW w:w="2040" w:type="dxa"/>
            <w:tcBorders>
              <w:top w:val="nil"/>
              <w:left w:val="nil"/>
              <w:bottom w:val="nil"/>
              <w:right w:val="nil"/>
            </w:tcBorders>
            <w:shd w:val="clear" w:color="auto" w:fill="auto"/>
            <w:vAlign w:val="center"/>
            <w:hideMark/>
          </w:tcPr>
          <w:p w14:paraId="13414AC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-0.005</w:t>
            </w:r>
          </w:p>
        </w:tc>
        <w:tc>
          <w:tcPr>
            <w:tcW w:w="1620" w:type="dxa"/>
            <w:tcBorders>
              <w:top w:val="nil"/>
              <w:left w:val="nil"/>
              <w:bottom w:val="nil"/>
              <w:right w:val="nil"/>
            </w:tcBorders>
            <w:shd w:val="clear" w:color="auto" w:fill="auto"/>
            <w:vAlign w:val="center"/>
            <w:hideMark/>
          </w:tcPr>
          <w:p w14:paraId="4ADDDF19"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8</w:t>
            </w:r>
          </w:p>
        </w:tc>
        <w:tc>
          <w:tcPr>
            <w:tcW w:w="1860" w:type="dxa"/>
            <w:tcBorders>
              <w:top w:val="nil"/>
              <w:left w:val="nil"/>
              <w:bottom w:val="nil"/>
              <w:right w:val="nil"/>
            </w:tcBorders>
            <w:shd w:val="clear" w:color="auto" w:fill="auto"/>
            <w:vAlign w:val="center"/>
            <w:hideMark/>
          </w:tcPr>
          <w:p w14:paraId="3CC4AE2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27</w:t>
            </w:r>
          </w:p>
        </w:tc>
      </w:tr>
      <w:tr w:rsidR="008A0CED" w:rsidRPr="00EA02CC" w14:paraId="400467D3" w14:textId="77777777" w:rsidTr="002E5C71">
        <w:trPr>
          <w:trHeight w:val="1120"/>
        </w:trPr>
        <w:tc>
          <w:tcPr>
            <w:tcW w:w="1840" w:type="dxa"/>
            <w:tcBorders>
              <w:top w:val="nil"/>
              <w:left w:val="nil"/>
              <w:bottom w:val="nil"/>
              <w:right w:val="nil"/>
            </w:tcBorders>
            <w:shd w:val="clear" w:color="auto" w:fill="auto"/>
            <w:vAlign w:val="center"/>
            <w:hideMark/>
          </w:tcPr>
          <w:p w14:paraId="513AB89A"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social norms regarding violence and atrocities</w:t>
            </w:r>
          </w:p>
        </w:tc>
        <w:tc>
          <w:tcPr>
            <w:tcW w:w="2040" w:type="dxa"/>
            <w:tcBorders>
              <w:top w:val="nil"/>
              <w:left w:val="nil"/>
              <w:bottom w:val="nil"/>
              <w:right w:val="nil"/>
            </w:tcBorders>
            <w:shd w:val="clear" w:color="auto" w:fill="auto"/>
            <w:vAlign w:val="center"/>
            <w:hideMark/>
          </w:tcPr>
          <w:p w14:paraId="54C8C87B"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-0.001</w:t>
            </w:r>
          </w:p>
        </w:tc>
        <w:tc>
          <w:tcPr>
            <w:tcW w:w="1620" w:type="dxa"/>
            <w:tcBorders>
              <w:top w:val="nil"/>
              <w:left w:val="nil"/>
              <w:bottom w:val="nil"/>
              <w:right w:val="nil"/>
            </w:tcBorders>
            <w:shd w:val="clear" w:color="auto" w:fill="auto"/>
            <w:vAlign w:val="center"/>
            <w:hideMark/>
          </w:tcPr>
          <w:p w14:paraId="35BFFD09"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c>
          <w:tcPr>
            <w:tcW w:w="1860" w:type="dxa"/>
            <w:tcBorders>
              <w:top w:val="nil"/>
              <w:left w:val="nil"/>
              <w:bottom w:val="nil"/>
              <w:right w:val="nil"/>
            </w:tcBorders>
            <w:shd w:val="clear" w:color="auto" w:fill="auto"/>
            <w:vAlign w:val="center"/>
            <w:hideMark/>
          </w:tcPr>
          <w:p w14:paraId="215B20C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6</w:t>
            </w:r>
          </w:p>
        </w:tc>
      </w:tr>
      <w:tr w:rsidR="008A0CED" w:rsidRPr="00EA02CC" w14:paraId="2E24F06E" w14:textId="77777777" w:rsidTr="002E5C71">
        <w:trPr>
          <w:trHeight w:val="840"/>
        </w:trPr>
        <w:tc>
          <w:tcPr>
            <w:tcW w:w="1840" w:type="dxa"/>
            <w:tcBorders>
              <w:top w:val="nil"/>
              <w:left w:val="nil"/>
              <w:bottom w:val="nil"/>
              <w:right w:val="nil"/>
            </w:tcBorders>
            <w:shd w:val="clear" w:color="auto" w:fill="auto"/>
            <w:vAlign w:val="center"/>
            <w:hideMark/>
          </w:tcPr>
          <w:p w14:paraId="040FF015"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feelings of trust &amp; acceptance of diversity</w:t>
            </w:r>
          </w:p>
        </w:tc>
        <w:tc>
          <w:tcPr>
            <w:tcW w:w="2040" w:type="dxa"/>
            <w:tcBorders>
              <w:top w:val="nil"/>
              <w:left w:val="nil"/>
              <w:bottom w:val="nil"/>
              <w:right w:val="nil"/>
            </w:tcBorders>
            <w:shd w:val="clear" w:color="auto" w:fill="auto"/>
            <w:vAlign w:val="center"/>
            <w:hideMark/>
          </w:tcPr>
          <w:p w14:paraId="727A14B7"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0.037</w:t>
            </w:r>
          </w:p>
        </w:tc>
        <w:tc>
          <w:tcPr>
            <w:tcW w:w="1620" w:type="dxa"/>
            <w:tcBorders>
              <w:top w:val="nil"/>
              <w:left w:val="nil"/>
              <w:bottom w:val="nil"/>
              <w:right w:val="nil"/>
            </w:tcBorders>
            <w:shd w:val="clear" w:color="auto" w:fill="auto"/>
            <w:vAlign w:val="center"/>
            <w:hideMark/>
          </w:tcPr>
          <w:p w14:paraId="5079AE6F"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10</w:t>
            </w:r>
          </w:p>
        </w:tc>
        <w:tc>
          <w:tcPr>
            <w:tcW w:w="1860" w:type="dxa"/>
            <w:tcBorders>
              <w:top w:val="nil"/>
              <w:left w:val="nil"/>
              <w:bottom w:val="nil"/>
              <w:right w:val="nil"/>
            </w:tcBorders>
            <w:shd w:val="clear" w:color="auto" w:fill="auto"/>
            <w:vAlign w:val="center"/>
            <w:hideMark/>
          </w:tcPr>
          <w:p w14:paraId="6725BF3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40</w:t>
            </w:r>
          </w:p>
        </w:tc>
      </w:tr>
      <w:tr w:rsidR="008A0CED" w:rsidRPr="00EA02CC" w14:paraId="0F30293A" w14:textId="77777777" w:rsidTr="002E5C71">
        <w:trPr>
          <w:trHeight w:val="560"/>
        </w:trPr>
        <w:tc>
          <w:tcPr>
            <w:tcW w:w="1840" w:type="dxa"/>
            <w:tcBorders>
              <w:top w:val="nil"/>
              <w:left w:val="nil"/>
              <w:bottom w:val="nil"/>
              <w:right w:val="nil"/>
            </w:tcBorders>
            <w:shd w:val="clear" w:color="auto" w:fill="auto"/>
            <w:vAlign w:val="center"/>
            <w:hideMark/>
          </w:tcPr>
          <w:p w14:paraId="5A286AD3"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sense of belongingness</w:t>
            </w:r>
          </w:p>
        </w:tc>
        <w:tc>
          <w:tcPr>
            <w:tcW w:w="2040" w:type="dxa"/>
            <w:tcBorders>
              <w:top w:val="nil"/>
              <w:left w:val="nil"/>
              <w:bottom w:val="nil"/>
              <w:right w:val="nil"/>
            </w:tcBorders>
            <w:shd w:val="clear" w:color="auto" w:fill="auto"/>
            <w:vAlign w:val="center"/>
            <w:hideMark/>
          </w:tcPr>
          <w:p w14:paraId="5B9709B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0.0464</w:t>
            </w:r>
          </w:p>
        </w:tc>
        <w:tc>
          <w:tcPr>
            <w:tcW w:w="1620" w:type="dxa"/>
            <w:tcBorders>
              <w:top w:val="nil"/>
              <w:left w:val="nil"/>
              <w:bottom w:val="nil"/>
              <w:right w:val="nil"/>
            </w:tcBorders>
            <w:shd w:val="clear" w:color="auto" w:fill="auto"/>
            <w:vAlign w:val="center"/>
            <w:hideMark/>
          </w:tcPr>
          <w:p w14:paraId="4C5C0B3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c>
          <w:tcPr>
            <w:tcW w:w="1860" w:type="dxa"/>
            <w:tcBorders>
              <w:top w:val="nil"/>
              <w:left w:val="nil"/>
              <w:bottom w:val="nil"/>
              <w:right w:val="nil"/>
            </w:tcBorders>
            <w:shd w:val="clear" w:color="auto" w:fill="auto"/>
            <w:vAlign w:val="center"/>
            <w:hideMark/>
          </w:tcPr>
          <w:p w14:paraId="0226379D"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r>
      <w:tr w:rsidR="008A0CED" w:rsidRPr="00EA02CC" w14:paraId="09550507" w14:textId="77777777" w:rsidTr="002E5C71">
        <w:trPr>
          <w:trHeight w:val="560"/>
        </w:trPr>
        <w:tc>
          <w:tcPr>
            <w:tcW w:w="1840" w:type="dxa"/>
            <w:tcBorders>
              <w:top w:val="nil"/>
              <w:left w:val="nil"/>
              <w:bottom w:val="nil"/>
              <w:right w:val="nil"/>
            </w:tcBorders>
            <w:shd w:val="clear" w:color="auto" w:fill="auto"/>
            <w:vAlign w:val="center"/>
            <w:hideMark/>
          </w:tcPr>
          <w:p w14:paraId="45AA4979"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willingness to participate or help</w:t>
            </w:r>
          </w:p>
        </w:tc>
        <w:tc>
          <w:tcPr>
            <w:tcW w:w="2040" w:type="dxa"/>
            <w:tcBorders>
              <w:top w:val="nil"/>
              <w:left w:val="nil"/>
              <w:bottom w:val="nil"/>
              <w:right w:val="nil"/>
            </w:tcBorders>
            <w:shd w:val="clear" w:color="auto" w:fill="auto"/>
            <w:vAlign w:val="center"/>
            <w:hideMark/>
          </w:tcPr>
          <w:p w14:paraId="30D188A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0.167</w:t>
            </w:r>
          </w:p>
        </w:tc>
        <w:tc>
          <w:tcPr>
            <w:tcW w:w="1620" w:type="dxa"/>
            <w:tcBorders>
              <w:top w:val="nil"/>
              <w:left w:val="nil"/>
              <w:bottom w:val="nil"/>
              <w:right w:val="nil"/>
            </w:tcBorders>
            <w:shd w:val="clear" w:color="auto" w:fill="auto"/>
            <w:vAlign w:val="center"/>
            <w:hideMark/>
          </w:tcPr>
          <w:p w14:paraId="7174B63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11</w:t>
            </w:r>
          </w:p>
        </w:tc>
        <w:tc>
          <w:tcPr>
            <w:tcW w:w="1860" w:type="dxa"/>
            <w:tcBorders>
              <w:top w:val="nil"/>
              <w:left w:val="nil"/>
              <w:bottom w:val="nil"/>
              <w:right w:val="nil"/>
            </w:tcBorders>
            <w:shd w:val="clear" w:color="auto" w:fill="auto"/>
            <w:vAlign w:val="center"/>
            <w:hideMark/>
          </w:tcPr>
          <w:p w14:paraId="257EB79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38</w:t>
            </w:r>
          </w:p>
        </w:tc>
      </w:tr>
      <w:tr w:rsidR="008A0CED" w:rsidRPr="00EA02CC" w14:paraId="704BAB4E" w14:textId="77777777" w:rsidTr="002E5C71">
        <w:trPr>
          <w:trHeight w:val="840"/>
        </w:trPr>
        <w:tc>
          <w:tcPr>
            <w:tcW w:w="1840" w:type="dxa"/>
            <w:tcBorders>
              <w:top w:val="nil"/>
              <w:left w:val="nil"/>
              <w:bottom w:val="nil"/>
              <w:right w:val="nil"/>
            </w:tcBorders>
            <w:shd w:val="clear" w:color="auto" w:fill="auto"/>
            <w:vAlign w:val="center"/>
            <w:hideMark/>
          </w:tcPr>
          <w:p w14:paraId="1DAE9EBC"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 xml:space="preserve">access to justice, </w:t>
            </w:r>
            <w:proofErr w:type="gramStart"/>
            <w:r w:rsidRPr="00EA02CC">
              <w:rPr>
                <w:rFonts w:eastAsia="Times New Roman"/>
                <w:color w:val="000000"/>
                <w:lang w:val="en-IN"/>
              </w:rPr>
              <w:t>rights</w:t>
            </w:r>
            <w:proofErr w:type="gramEnd"/>
            <w:r w:rsidRPr="00EA02CC">
              <w:rPr>
                <w:rFonts w:eastAsia="Times New Roman"/>
                <w:color w:val="000000"/>
                <w:lang w:val="en-IN"/>
              </w:rPr>
              <w:t xml:space="preserve"> and public services </w:t>
            </w:r>
          </w:p>
        </w:tc>
        <w:tc>
          <w:tcPr>
            <w:tcW w:w="2040" w:type="dxa"/>
            <w:tcBorders>
              <w:top w:val="nil"/>
              <w:left w:val="nil"/>
              <w:bottom w:val="nil"/>
              <w:right w:val="nil"/>
            </w:tcBorders>
            <w:shd w:val="clear" w:color="auto" w:fill="auto"/>
            <w:vAlign w:val="center"/>
            <w:hideMark/>
          </w:tcPr>
          <w:p w14:paraId="4F0C46D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0.28</w:t>
            </w:r>
          </w:p>
        </w:tc>
        <w:tc>
          <w:tcPr>
            <w:tcW w:w="1620" w:type="dxa"/>
            <w:tcBorders>
              <w:top w:val="nil"/>
              <w:left w:val="nil"/>
              <w:bottom w:val="nil"/>
              <w:right w:val="nil"/>
            </w:tcBorders>
            <w:shd w:val="clear" w:color="auto" w:fill="auto"/>
            <w:vAlign w:val="center"/>
            <w:hideMark/>
          </w:tcPr>
          <w:p w14:paraId="2505CCCB"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6</w:t>
            </w:r>
          </w:p>
        </w:tc>
        <w:tc>
          <w:tcPr>
            <w:tcW w:w="1860" w:type="dxa"/>
            <w:tcBorders>
              <w:top w:val="nil"/>
              <w:left w:val="nil"/>
              <w:bottom w:val="nil"/>
              <w:right w:val="nil"/>
            </w:tcBorders>
            <w:shd w:val="clear" w:color="auto" w:fill="auto"/>
            <w:vAlign w:val="center"/>
            <w:hideMark/>
          </w:tcPr>
          <w:p w14:paraId="6A8E4DCD"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30</w:t>
            </w:r>
          </w:p>
        </w:tc>
      </w:tr>
      <w:tr w:rsidR="008A0CED" w:rsidRPr="00EA02CC" w14:paraId="13D89753" w14:textId="77777777" w:rsidTr="002E5C71">
        <w:trPr>
          <w:trHeight w:val="290"/>
        </w:trPr>
        <w:tc>
          <w:tcPr>
            <w:tcW w:w="1840" w:type="dxa"/>
            <w:tcBorders>
              <w:top w:val="nil"/>
              <w:left w:val="nil"/>
              <w:bottom w:val="nil"/>
              <w:right w:val="nil"/>
            </w:tcBorders>
            <w:shd w:val="clear" w:color="auto" w:fill="auto"/>
            <w:vAlign w:val="center"/>
            <w:hideMark/>
          </w:tcPr>
          <w:p w14:paraId="21F7B684"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civic participation</w:t>
            </w:r>
          </w:p>
        </w:tc>
        <w:tc>
          <w:tcPr>
            <w:tcW w:w="2040" w:type="dxa"/>
            <w:tcBorders>
              <w:top w:val="nil"/>
              <w:left w:val="nil"/>
              <w:bottom w:val="nil"/>
              <w:right w:val="nil"/>
            </w:tcBorders>
            <w:shd w:val="clear" w:color="auto" w:fill="auto"/>
            <w:vAlign w:val="center"/>
            <w:hideMark/>
          </w:tcPr>
          <w:p w14:paraId="37219E1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0.171</w:t>
            </w:r>
          </w:p>
        </w:tc>
        <w:tc>
          <w:tcPr>
            <w:tcW w:w="1620" w:type="dxa"/>
            <w:tcBorders>
              <w:top w:val="nil"/>
              <w:left w:val="nil"/>
              <w:bottom w:val="nil"/>
              <w:right w:val="nil"/>
            </w:tcBorders>
            <w:shd w:val="clear" w:color="auto" w:fill="auto"/>
            <w:vAlign w:val="center"/>
            <w:hideMark/>
          </w:tcPr>
          <w:p w14:paraId="1FBA1A9E"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7</w:t>
            </w:r>
          </w:p>
        </w:tc>
        <w:tc>
          <w:tcPr>
            <w:tcW w:w="1860" w:type="dxa"/>
            <w:tcBorders>
              <w:top w:val="nil"/>
              <w:left w:val="nil"/>
              <w:bottom w:val="nil"/>
              <w:right w:val="nil"/>
            </w:tcBorders>
            <w:shd w:val="clear" w:color="auto" w:fill="auto"/>
            <w:vAlign w:val="center"/>
            <w:hideMark/>
          </w:tcPr>
          <w:p w14:paraId="419BDF76"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28</w:t>
            </w:r>
          </w:p>
        </w:tc>
      </w:tr>
      <w:tr w:rsidR="008A0CED" w:rsidRPr="00EA02CC" w14:paraId="035EBA13" w14:textId="77777777" w:rsidTr="002E5C71">
        <w:trPr>
          <w:trHeight w:val="560"/>
        </w:trPr>
        <w:tc>
          <w:tcPr>
            <w:tcW w:w="1840" w:type="dxa"/>
            <w:tcBorders>
              <w:top w:val="nil"/>
              <w:left w:val="nil"/>
              <w:bottom w:val="nil"/>
              <w:right w:val="nil"/>
            </w:tcBorders>
            <w:shd w:val="clear" w:color="auto" w:fill="auto"/>
            <w:vAlign w:val="center"/>
            <w:hideMark/>
          </w:tcPr>
          <w:p w14:paraId="7731FC61"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government performance</w:t>
            </w:r>
          </w:p>
        </w:tc>
        <w:tc>
          <w:tcPr>
            <w:tcW w:w="2040" w:type="dxa"/>
            <w:tcBorders>
              <w:top w:val="nil"/>
              <w:left w:val="nil"/>
              <w:bottom w:val="nil"/>
              <w:right w:val="nil"/>
            </w:tcBorders>
            <w:shd w:val="clear" w:color="auto" w:fill="auto"/>
            <w:vAlign w:val="center"/>
            <w:hideMark/>
          </w:tcPr>
          <w:p w14:paraId="53ABFC0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0.043</w:t>
            </w:r>
          </w:p>
        </w:tc>
        <w:tc>
          <w:tcPr>
            <w:tcW w:w="1620" w:type="dxa"/>
            <w:tcBorders>
              <w:top w:val="nil"/>
              <w:left w:val="nil"/>
              <w:bottom w:val="nil"/>
              <w:right w:val="nil"/>
            </w:tcBorders>
            <w:shd w:val="clear" w:color="auto" w:fill="auto"/>
            <w:vAlign w:val="center"/>
            <w:hideMark/>
          </w:tcPr>
          <w:p w14:paraId="07F0ED9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8</w:t>
            </w:r>
          </w:p>
        </w:tc>
        <w:tc>
          <w:tcPr>
            <w:tcW w:w="1860" w:type="dxa"/>
            <w:tcBorders>
              <w:top w:val="nil"/>
              <w:left w:val="nil"/>
              <w:bottom w:val="nil"/>
              <w:right w:val="nil"/>
            </w:tcBorders>
            <w:shd w:val="clear" w:color="auto" w:fill="auto"/>
            <w:vAlign w:val="center"/>
            <w:hideMark/>
          </w:tcPr>
          <w:p w14:paraId="40D696A9"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147</w:t>
            </w:r>
          </w:p>
        </w:tc>
      </w:tr>
      <w:tr w:rsidR="008A0CED" w:rsidRPr="00EA02CC" w14:paraId="1FA04B07" w14:textId="77777777" w:rsidTr="002E5C71">
        <w:trPr>
          <w:trHeight w:val="560"/>
        </w:trPr>
        <w:tc>
          <w:tcPr>
            <w:tcW w:w="1840" w:type="dxa"/>
            <w:tcBorders>
              <w:top w:val="nil"/>
              <w:left w:val="nil"/>
              <w:bottom w:val="nil"/>
              <w:right w:val="nil"/>
            </w:tcBorders>
            <w:shd w:val="clear" w:color="auto" w:fill="auto"/>
            <w:vAlign w:val="center"/>
            <w:hideMark/>
          </w:tcPr>
          <w:p w14:paraId="641514DC"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economic security</w:t>
            </w:r>
          </w:p>
        </w:tc>
        <w:tc>
          <w:tcPr>
            <w:tcW w:w="2040" w:type="dxa"/>
            <w:tcBorders>
              <w:top w:val="nil"/>
              <w:left w:val="nil"/>
              <w:bottom w:val="nil"/>
              <w:right w:val="nil"/>
            </w:tcBorders>
            <w:shd w:val="clear" w:color="auto" w:fill="auto"/>
            <w:vAlign w:val="center"/>
            <w:hideMark/>
          </w:tcPr>
          <w:p w14:paraId="17CE3156"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0.028</w:t>
            </w:r>
          </w:p>
        </w:tc>
        <w:tc>
          <w:tcPr>
            <w:tcW w:w="1620" w:type="dxa"/>
            <w:tcBorders>
              <w:top w:val="nil"/>
              <w:left w:val="nil"/>
              <w:bottom w:val="nil"/>
              <w:right w:val="nil"/>
            </w:tcBorders>
            <w:shd w:val="clear" w:color="auto" w:fill="auto"/>
            <w:vAlign w:val="center"/>
            <w:hideMark/>
          </w:tcPr>
          <w:p w14:paraId="5C477BEB"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11</w:t>
            </w:r>
          </w:p>
        </w:tc>
        <w:tc>
          <w:tcPr>
            <w:tcW w:w="1860" w:type="dxa"/>
            <w:tcBorders>
              <w:top w:val="nil"/>
              <w:left w:val="nil"/>
              <w:bottom w:val="nil"/>
              <w:right w:val="nil"/>
            </w:tcBorders>
            <w:shd w:val="clear" w:color="auto" w:fill="auto"/>
            <w:vAlign w:val="center"/>
            <w:hideMark/>
          </w:tcPr>
          <w:p w14:paraId="3D69D1BE"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57</w:t>
            </w:r>
          </w:p>
        </w:tc>
      </w:tr>
      <w:tr w:rsidR="008A0CED" w:rsidRPr="00EA02CC" w14:paraId="7C5851A9" w14:textId="77777777" w:rsidTr="002E5C71">
        <w:trPr>
          <w:trHeight w:val="560"/>
        </w:trPr>
        <w:tc>
          <w:tcPr>
            <w:tcW w:w="1840" w:type="dxa"/>
            <w:tcBorders>
              <w:top w:val="nil"/>
              <w:left w:val="nil"/>
              <w:bottom w:val="nil"/>
              <w:right w:val="nil"/>
            </w:tcBorders>
            <w:shd w:val="clear" w:color="auto" w:fill="auto"/>
            <w:vAlign w:val="center"/>
            <w:hideMark/>
          </w:tcPr>
          <w:p w14:paraId="636B1FB0"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educational security</w:t>
            </w:r>
          </w:p>
        </w:tc>
        <w:tc>
          <w:tcPr>
            <w:tcW w:w="2040" w:type="dxa"/>
            <w:tcBorders>
              <w:top w:val="nil"/>
              <w:left w:val="nil"/>
              <w:bottom w:val="nil"/>
              <w:right w:val="nil"/>
            </w:tcBorders>
            <w:shd w:val="clear" w:color="auto" w:fill="auto"/>
            <w:vAlign w:val="center"/>
            <w:hideMark/>
          </w:tcPr>
          <w:p w14:paraId="1FAB7C1B"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0.07</w:t>
            </w:r>
          </w:p>
        </w:tc>
        <w:tc>
          <w:tcPr>
            <w:tcW w:w="1620" w:type="dxa"/>
            <w:tcBorders>
              <w:top w:val="nil"/>
              <w:left w:val="nil"/>
              <w:bottom w:val="nil"/>
              <w:right w:val="nil"/>
            </w:tcBorders>
            <w:shd w:val="clear" w:color="auto" w:fill="auto"/>
            <w:vAlign w:val="center"/>
            <w:hideMark/>
          </w:tcPr>
          <w:p w14:paraId="10C4D12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6</w:t>
            </w:r>
          </w:p>
        </w:tc>
        <w:tc>
          <w:tcPr>
            <w:tcW w:w="1860" w:type="dxa"/>
            <w:tcBorders>
              <w:top w:val="nil"/>
              <w:left w:val="nil"/>
              <w:bottom w:val="nil"/>
              <w:right w:val="nil"/>
            </w:tcBorders>
            <w:shd w:val="clear" w:color="auto" w:fill="auto"/>
            <w:vAlign w:val="center"/>
            <w:hideMark/>
          </w:tcPr>
          <w:p w14:paraId="6997B71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23</w:t>
            </w:r>
          </w:p>
        </w:tc>
      </w:tr>
      <w:tr w:rsidR="008A0CED" w:rsidRPr="00EA02CC" w14:paraId="2FAFB1CE" w14:textId="77777777" w:rsidTr="002E5C71">
        <w:trPr>
          <w:trHeight w:val="840"/>
        </w:trPr>
        <w:tc>
          <w:tcPr>
            <w:tcW w:w="1840" w:type="dxa"/>
            <w:tcBorders>
              <w:top w:val="nil"/>
              <w:left w:val="nil"/>
              <w:bottom w:val="nil"/>
              <w:right w:val="nil"/>
            </w:tcBorders>
            <w:shd w:val="clear" w:color="auto" w:fill="auto"/>
            <w:vAlign w:val="center"/>
            <w:hideMark/>
          </w:tcPr>
          <w:p w14:paraId="6341ABD7"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food security and nutrition and health security</w:t>
            </w:r>
          </w:p>
        </w:tc>
        <w:tc>
          <w:tcPr>
            <w:tcW w:w="2040" w:type="dxa"/>
            <w:tcBorders>
              <w:top w:val="nil"/>
              <w:left w:val="nil"/>
              <w:bottom w:val="nil"/>
              <w:right w:val="nil"/>
            </w:tcBorders>
            <w:shd w:val="clear" w:color="auto" w:fill="auto"/>
            <w:vAlign w:val="center"/>
            <w:hideMark/>
          </w:tcPr>
          <w:p w14:paraId="696A433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0.08</w:t>
            </w:r>
          </w:p>
        </w:tc>
        <w:tc>
          <w:tcPr>
            <w:tcW w:w="1620" w:type="dxa"/>
            <w:tcBorders>
              <w:top w:val="nil"/>
              <w:left w:val="nil"/>
              <w:bottom w:val="nil"/>
              <w:right w:val="nil"/>
            </w:tcBorders>
            <w:shd w:val="clear" w:color="auto" w:fill="auto"/>
            <w:vAlign w:val="center"/>
            <w:hideMark/>
          </w:tcPr>
          <w:p w14:paraId="2CA1E608"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8</w:t>
            </w:r>
          </w:p>
        </w:tc>
        <w:tc>
          <w:tcPr>
            <w:tcW w:w="1860" w:type="dxa"/>
            <w:tcBorders>
              <w:top w:val="nil"/>
              <w:left w:val="nil"/>
              <w:bottom w:val="nil"/>
              <w:right w:val="nil"/>
            </w:tcBorders>
            <w:shd w:val="clear" w:color="auto" w:fill="auto"/>
            <w:vAlign w:val="center"/>
            <w:hideMark/>
          </w:tcPr>
          <w:p w14:paraId="5A029234"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22</w:t>
            </w:r>
          </w:p>
        </w:tc>
      </w:tr>
      <w:tr w:rsidR="008A0CED" w:rsidRPr="00EA02CC" w14:paraId="613F3B96" w14:textId="77777777" w:rsidTr="002E5C71">
        <w:trPr>
          <w:trHeight w:val="290"/>
        </w:trPr>
        <w:tc>
          <w:tcPr>
            <w:tcW w:w="1840" w:type="dxa"/>
            <w:tcBorders>
              <w:top w:val="nil"/>
              <w:left w:val="nil"/>
              <w:bottom w:val="nil"/>
              <w:right w:val="nil"/>
            </w:tcBorders>
            <w:shd w:val="clear" w:color="auto" w:fill="auto"/>
            <w:vAlign w:val="center"/>
            <w:hideMark/>
          </w:tcPr>
          <w:p w14:paraId="0244E84F"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physical security</w:t>
            </w:r>
          </w:p>
        </w:tc>
        <w:tc>
          <w:tcPr>
            <w:tcW w:w="2040" w:type="dxa"/>
            <w:tcBorders>
              <w:top w:val="nil"/>
              <w:left w:val="nil"/>
              <w:bottom w:val="nil"/>
              <w:right w:val="nil"/>
            </w:tcBorders>
            <w:shd w:val="clear" w:color="auto" w:fill="auto"/>
            <w:vAlign w:val="center"/>
            <w:hideMark/>
          </w:tcPr>
          <w:p w14:paraId="2890C238"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0.031</w:t>
            </w:r>
          </w:p>
        </w:tc>
        <w:tc>
          <w:tcPr>
            <w:tcW w:w="1620" w:type="dxa"/>
            <w:tcBorders>
              <w:top w:val="nil"/>
              <w:left w:val="nil"/>
              <w:bottom w:val="nil"/>
              <w:right w:val="nil"/>
            </w:tcBorders>
            <w:shd w:val="clear" w:color="auto" w:fill="auto"/>
            <w:vAlign w:val="center"/>
            <w:hideMark/>
          </w:tcPr>
          <w:p w14:paraId="5477959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w:t>
            </w:r>
          </w:p>
        </w:tc>
        <w:tc>
          <w:tcPr>
            <w:tcW w:w="1860" w:type="dxa"/>
            <w:tcBorders>
              <w:top w:val="nil"/>
              <w:left w:val="nil"/>
              <w:bottom w:val="nil"/>
              <w:right w:val="nil"/>
            </w:tcBorders>
            <w:shd w:val="clear" w:color="auto" w:fill="auto"/>
            <w:vAlign w:val="center"/>
            <w:hideMark/>
          </w:tcPr>
          <w:p w14:paraId="0AB1C780"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13</w:t>
            </w:r>
          </w:p>
        </w:tc>
      </w:tr>
      <w:tr w:rsidR="008A0CED" w:rsidRPr="00EA02CC" w14:paraId="7BB12734" w14:textId="77777777" w:rsidTr="002E5C71">
        <w:trPr>
          <w:trHeight w:val="290"/>
        </w:trPr>
        <w:tc>
          <w:tcPr>
            <w:tcW w:w="1840" w:type="dxa"/>
            <w:tcBorders>
              <w:top w:val="nil"/>
              <w:left w:val="nil"/>
              <w:bottom w:val="nil"/>
              <w:right w:val="nil"/>
            </w:tcBorders>
            <w:shd w:val="clear" w:color="auto" w:fill="auto"/>
            <w:vAlign w:val="center"/>
            <w:hideMark/>
          </w:tcPr>
          <w:p w14:paraId="51DDCB46"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political security</w:t>
            </w:r>
          </w:p>
        </w:tc>
        <w:tc>
          <w:tcPr>
            <w:tcW w:w="2040" w:type="dxa"/>
            <w:tcBorders>
              <w:top w:val="nil"/>
              <w:left w:val="nil"/>
              <w:bottom w:val="nil"/>
              <w:right w:val="nil"/>
            </w:tcBorders>
            <w:shd w:val="clear" w:color="auto" w:fill="auto"/>
            <w:vAlign w:val="center"/>
            <w:hideMark/>
          </w:tcPr>
          <w:p w14:paraId="44CC17D8"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0.028</w:t>
            </w:r>
          </w:p>
        </w:tc>
        <w:tc>
          <w:tcPr>
            <w:tcW w:w="1620" w:type="dxa"/>
            <w:tcBorders>
              <w:top w:val="nil"/>
              <w:left w:val="nil"/>
              <w:bottom w:val="nil"/>
              <w:right w:val="nil"/>
            </w:tcBorders>
            <w:shd w:val="clear" w:color="auto" w:fill="auto"/>
            <w:vAlign w:val="center"/>
            <w:hideMark/>
          </w:tcPr>
          <w:p w14:paraId="64BB8405"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5</w:t>
            </w:r>
          </w:p>
        </w:tc>
        <w:tc>
          <w:tcPr>
            <w:tcW w:w="1860" w:type="dxa"/>
            <w:tcBorders>
              <w:top w:val="nil"/>
              <w:left w:val="nil"/>
              <w:bottom w:val="nil"/>
              <w:right w:val="nil"/>
            </w:tcBorders>
            <w:shd w:val="clear" w:color="auto" w:fill="auto"/>
            <w:vAlign w:val="center"/>
            <w:hideMark/>
          </w:tcPr>
          <w:p w14:paraId="08C4A9C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21</w:t>
            </w:r>
          </w:p>
        </w:tc>
      </w:tr>
      <w:tr w:rsidR="008A0CED" w:rsidRPr="00EA02CC" w14:paraId="7DCAD792" w14:textId="77777777" w:rsidTr="002E5C71">
        <w:trPr>
          <w:trHeight w:val="560"/>
        </w:trPr>
        <w:tc>
          <w:tcPr>
            <w:tcW w:w="1840" w:type="dxa"/>
            <w:tcBorders>
              <w:top w:val="nil"/>
              <w:left w:val="nil"/>
              <w:bottom w:val="nil"/>
              <w:right w:val="nil"/>
            </w:tcBorders>
            <w:shd w:val="clear" w:color="auto" w:fill="auto"/>
            <w:vAlign w:val="center"/>
            <w:hideMark/>
          </w:tcPr>
          <w:p w14:paraId="5639EAC7"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economic security</w:t>
            </w:r>
          </w:p>
        </w:tc>
        <w:tc>
          <w:tcPr>
            <w:tcW w:w="2040" w:type="dxa"/>
            <w:tcBorders>
              <w:top w:val="nil"/>
              <w:left w:val="nil"/>
              <w:bottom w:val="nil"/>
              <w:right w:val="nil"/>
            </w:tcBorders>
            <w:shd w:val="clear" w:color="auto" w:fill="auto"/>
            <w:vAlign w:val="center"/>
            <w:hideMark/>
          </w:tcPr>
          <w:p w14:paraId="06F0BBEC"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w:t>
            </w:r>
          </w:p>
        </w:tc>
        <w:tc>
          <w:tcPr>
            <w:tcW w:w="1620" w:type="dxa"/>
            <w:tcBorders>
              <w:top w:val="nil"/>
              <w:left w:val="nil"/>
              <w:bottom w:val="nil"/>
              <w:right w:val="nil"/>
            </w:tcBorders>
            <w:shd w:val="clear" w:color="auto" w:fill="auto"/>
            <w:vAlign w:val="center"/>
            <w:hideMark/>
          </w:tcPr>
          <w:p w14:paraId="5C66083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c>
          <w:tcPr>
            <w:tcW w:w="1860" w:type="dxa"/>
            <w:tcBorders>
              <w:top w:val="nil"/>
              <w:left w:val="nil"/>
              <w:bottom w:val="nil"/>
              <w:right w:val="nil"/>
            </w:tcBorders>
            <w:shd w:val="clear" w:color="auto" w:fill="auto"/>
            <w:vAlign w:val="center"/>
            <w:hideMark/>
          </w:tcPr>
          <w:p w14:paraId="51567B7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r>
      <w:tr w:rsidR="008A0CED" w:rsidRPr="00EA02CC" w14:paraId="0C3872E4" w14:textId="77777777" w:rsidTr="002E5C71">
        <w:trPr>
          <w:trHeight w:val="840"/>
        </w:trPr>
        <w:tc>
          <w:tcPr>
            <w:tcW w:w="1840" w:type="dxa"/>
            <w:tcBorders>
              <w:top w:val="nil"/>
              <w:left w:val="nil"/>
              <w:bottom w:val="single" w:sz="4" w:space="0" w:color="auto"/>
              <w:right w:val="nil"/>
            </w:tcBorders>
            <w:shd w:val="clear" w:color="auto" w:fill="auto"/>
            <w:vAlign w:val="center"/>
            <w:hideMark/>
          </w:tcPr>
          <w:p w14:paraId="69BCF259"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intermediate social cohesion outcomes</w:t>
            </w:r>
          </w:p>
        </w:tc>
        <w:tc>
          <w:tcPr>
            <w:tcW w:w="2040" w:type="dxa"/>
            <w:tcBorders>
              <w:top w:val="nil"/>
              <w:left w:val="nil"/>
              <w:bottom w:val="single" w:sz="4" w:space="0" w:color="auto"/>
              <w:right w:val="nil"/>
            </w:tcBorders>
            <w:shd w:val="clear" w:color="auto" w:fill="auto"/>
            <w:vAlign w:val="center"/>
            <w:hideMark/>
          </w:tcPr>
          <w:p w14:paraId="10AA3958"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0.095</w:t>
            </w:r>
          </w:p>
        </w:tc>
        <w:tc>
          <w:tcPr>
            <w:tcW w:w="1620" w:type="dxa"/>
            <w:tcBorders>
              <w:top w:val="nil"/>
              <w:left w:val="nil"/>
              <w:bottom w:val="single" w:sz="4" w:space="0" w:color="auto"/>
              <w:right w:val="nil"/>
            </w:tcBorders>
            <w:shd w:val="clear" w:color="auto" w:fill="auto"/>
            <w:vAlign w:val="center"/>
            <w:hideMark/>
          </w:tcPr>
          <w:p w14:paraId="6D66A5DB"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c>
          <w:tcPr>
            <w:tcW w:w="1860" w:type="dxa"/>
            <w:tcBorders>
              <w:top w:val="nil"/>
              <w:left w:val="nil"/>
              <w:bottom w:val="single" w:sz="4" w:space="0" w:color="auto"/>
              <w:right w:val="nil"/>
            </w:tcBorders>
            <w:shd w:val="clear" w:color="auto" w:fill="auto"/>
            <w:vAlign w:val="center"/>
            <w:hideMark/>
          </w:tcPr>
          <w:p w14:paraId="15F5A7F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35</w:t>
            </w:r>
          </w:p>
        </w:tc>
      </w:tr>
    </w:tbl>
    <w:p w14:paraId="6C9C39FD" w14:textId="77777777" w:rsidR="008A0CED" w:rsidRPr="00CA20BB" w:rsidRDefault="008A0CED" w:rsidP="008A0CED">
      <w:pPr>
        <w:spacing w:afterLines="80" w:after="192" w:line="312" w:lineRule="auto"/>
        <w:rPr>
          <w:lang w:val="en-IN"/>
        </w:rPr>
      </w:pPr>
      <w:r w:rsidRPr="00CA20BB">
        <w:rPr>
          <w:lang w:val="en-IN"/>
        </w:rPr>
        <w:br/>
      </w:r>
    </w:p>
    <w:p w14:paraId="4069A2B6" w14:textId="77777777" w:rsidR="008A0CED" w:rsidRDefault="008A0CED" w:rsidP="008A0CED">
      <w:pPr>
        <w:rPr>
          <w:b/>
          <w:bCs/>
          <w:lang w:val="en-IN"/>
        </w:rPr>
      </w:pPr>
      <w:bookmarkStart w:id="5" w:name="_Toc193464444"/>
    </w:p>
    <w:p w14:paraId="2F93E713" w14:textId="77777777" w:rsidR="008A0CED" w:rsidRPr="003B2A31" w:rsidRDefault="008A0CED" w:rsidP="008A0CED">
      <w:pPr>
        <w:pStyle w:val="Heading3"/>
        <w:rPr>
          <w:b/>
          <w:bCs/>
        </w:rPr>
      </w:pPr>
      <w:r w:rsidRPr="003B2A31">
        <w:rPr>
          <w:b/>
          <w:bCs/>
        </w:rPr>
        <w:t>Governance and Justice Institutions – Election support initiatives.</w:t>
      </w:r>
      <w:bookmarkEnd w:id="5"/>
    </w:p>
    <w:p w14:paraId="58149E44" w14:textId="77777777" w:rsidR="008A0CED" w:rsidRPr="003B2A31" w:rsidRDefault="008A0CED" w:rsidP="008A0CED">
      <w:pPr>
        <w:spacing w:afterLines="80" w:after="192" w:line="312" w:lineRule="auto"/>
        <w:rPr>
          <w:b/>
          <w:bCs/>
          <w:lang w:val="en-IN"/>
        </w:rPr>
      </w:pPr>
    </w:p>
    <w:p w14:paraId="2A0872CB" w14:textId="77777777" w:rsidR="008A0CED" w:rsidRPr="00CA20BB" w:rsidRDefault="008A0CED" w:rsidP="008A0CED">
      <w:pPr>
        <w:spacing w:afterLines="80" w:after="192" w:line="312" w:lineRule="auto"/>
        <w:rPr>
          <w:lang w:val="en-IN"/>
        </w:rPr>
      </w:pPr>
      <w:r w:rsidRPr="00CA20BB">
        <w:rPr>
          <w:b/>
          <w:bCs/>
          <w:lang w:val="en-IN"/>
        </w:rPr>
        <w:t>Impact of Election support interventions on various outcomes</w:t>
      </w:r>
    </w:p>
    <w:p w14:paraId="2128924A" w14:textId="77777777" w:rsidR="008A0CED" w:rsidRPr="00CA20BB" w:rsidRDefault="008A0CED" w:rsidP="008A0CED">
      <w:pPr>
        <w:spacing w:afterLines="80" w:after="192" w:line="312" w:lineRule="auto"/>
        <w:rPr>
          <w:lang w:val="en-IN"/>
        </w:rPr>
      </w:pPr>
      <w:r w:rsidRPr="00CA20BB">
        <w:rPr>
          <w:lang w:val="en-IN"/>
        </w:rPr>
        <w:t>There were 8 studies in the intervention sub-category foundational state design processes, transitional political processes, and election support studying election support across 6 sub-outcome categories. These include the nature and scale of violence or atrocities, social norms regarding violence and atrocities, civic participation, government performance, physical security, and political security. The election support interventions across these studies include capacity building through training and education and attitude transformation strategies, moderation of election-related violence by courts, anti-violence campaigning, exposure to electoral programming from broadcast radio on the women’s political behaviors and attitudes in the context of general elections, presence of international election observers on electoral violence, election education events and anti-fraud interventions. The effects for 1 study of 8 were not extracted due to lack of data.</w:t>
      </w:r>
    </w:p>
    <w:p w14:paraId="2C80F1BB" w14:textId="77777777" w:rsidR="008A0CED" w:rsidRPr="00CA20BB" w:rsidRDefault="008A0CED" w:rsidP="008A0CED">
      <w:pPr>
        <w:spacing w:afterLines="80" w:after="192" w:line="312" w:lineRule="auto"/>
        <w:rPr>
          <w:lang w:val="en-IN"/>
        </w:rPr>
      </w:pPr>
      <w:r w:rsidRPr="00CA20BB">
        <w:rPr>
          <w:lang w:val="en-IN"/>
        </w:rPr>
        <w:t>Overall, the effect of election support interventions has a small effect across all the outcomes (g=0.057, no of studies = 7, no of effects = 64). However, election support interventions have an adverse impact on civic participation (g= -0.032) and the nature and scale of violence or atrocities (g= -0.032) outcomes. The civic participation outcomes include political freedom, voting behavior, and gubernatorial. In the nature and scale of violence or atrocities, 30 outcomes were studied across 6 studies. These studies were conducted in Sub-Saharan Africa and the Global context.</w:t>
      </w:r>
    </w:p>
    <w:p w14:paraId="69C66C65" w14:textId="77777777" w:rsidR="008A0CED" w:rsidRPr="00CA20BB" w:rsidRDefault="008A0CED" w:rsidP="008A0CED">
      <w:pPr>
        <w:spacing w:afterLines="80" w:after="192" w:line="312" w:lineRule="auto"/>
        <w:rPr>
          <w:lang w:val="en-IN"/>
        </w:rPr>
      </w:pPr>
      <w:r w:rsidRPr="00CA20BB">
        <w:rPr>
          <w:lang w:val="en-IN"/>
        </w:rPr>
        <w:t>The social norms regarding violence and atrocities outcomes were studied across 2 studies and 5 effect sizes. These studies were conducted in Sub-Saharan Africa. The intervention had a small effect (g= 0.032) on empowerment against electoral violence, crime perception and experience, and willingness to use political violence outcomes.</w:t>
      </w:r>
    </w:p>
    <w:p w14:paraId="7C395A3F" w14:textId="77777777" w:rsidR="008A0CED" w:rsidRPr="00CA20BB" w:rsidRDefault="008A0CED" w:rsidP="008A0CED">
      <w:pPr>
        <w:spacing w:afterLines="80" w:after="192" w:line="312" w:lineRule="auto"/>
        <w:rPr>
          <w:lang w:val="en-IN"/>
        </w:rPr>
      </w:pPr>
      <w:r w:rsidRPr="00CA20BB">
        <w:rPr>
          <w:lang w:val="en-IN"/>
        </w:rPr>
        <w:t>The studies assessed the effects of election support interventions on government performance, physical security, and political security outcomes. The intervention had a moderate effect across these outcomes. The government performance outcomes including attitudes index, government index, and legitimacy index were studied in the South Asian context (n=1 study; g= 0.121; no of effects = 3). The intervention studied anti-fraud intervention on citizens' attitudes toward the government and their willingness to comply with its authority.</w:t>
      </w:r>
    </w:p>
    <w:p w14:paraId="3F4810E2" w14:textId="77777777" w:rsidR="008A0CED" w:rsidRPr="00CA20BB" w:rsidRDefault="008A0CED" w:rsidP="008A0CED">
      <w:pPr>
        <w:spacing w:afterLines="80" w:after="192" w:line="312" w:lineRule="auto"/>
        <w:rPr>
          <w:lang w:val="en-IN"/>
        </w:rPr>
      </w:pPr>
      <w:r w:rsidRPr="00CA20BB">
        <w:rPr>
          <w:lang w:val="en-IN"/>
        </w:rPr>
        <w:t>The evidence shows that election support interventions including election campaigns, election education events and security, economic recovery, and political reintegration operations have an impact on physical violence and the perceived threat of violence during the election campaign as physical security outcomes (n = 2 studies; g = 0.137; no of effects = 2). These studies were conducted in Sub Saharan Africa region.</w:t>
      </w:r>
    </w:p>
    <w:p w14:paraId="4ABC7A74" w14:textId="77777777" w:rsidR="008A0CED" w:rsidRPr="00CA20BB" w:rsidRDefault="008A0CED" w:rsidP="008A0CED">
      <w:pPr>
        <w:spacing w:afterLines="80" w:after="192" w:line="312" w:lineRule="auto"/>
        <w:rPr>
          <w:lang w:val="en-IN"/>
        </w:rPr>
      </w:pPr>
      <w:r w:rsidRPr="00CA20BB">
        <w:rPr>
          <w:lang w:val="en-IN"/>
        </w:rPr>
        <w:lastRenderedPageBreak/>
        <w:t>The studies that assessed political security outcomes studied electoral education campaigning and governance-strengthening mechanisms as interventions in the Sub-Saharan Africa region. Evidence shows that electoral programming from UNMIL broadcast radio affected the women’s political behaviors and attitudes in the context of the 2011 general elections in Liberia and election education reduced fears of violence and increased the frequency of contact with the government (n = 2 studies; g = 0.165; no of effects =15).</w:t>
      </w:r>
    </w:p>
    <w:p w14:paraId="3BB29180" w14:textId="77777777" w:rsidR="008A0CED" w:rsidRPr="00EA02CC" w:rsidRDefault="008A0CED" w:rsidP="008A0CED">
      <w:pPr>
        <w:spacing w:afterLines="80" w:after="192" w:line="312" w:lineRule="auto"/>
        <w:rPr>
          <w:b/>
          <w:bCs/>
          <w:lang w:val="en-IN"/>
        </w:rPr>
      </w:pPr>
      <w:r w:rsidRPr="00EA02CC">
        <w:rPr>
          <w:b/>
          <w:bCs/>
          <w:lang w:val="en-IN"/>
        </w:rPr>
        <w:t xml:space="preserve">Table 8 </w:t>
      </w:r>
      <w:r>
        <w:rPr>
          <w:b/>
          <w:bCs/>
          <w:lang w:val="en-IN"/>
        </w:rPr>
        <w:t>–</w:t>
      </w:r>
      <w:r w:rsidRPr="00EA02CC">
        <w:rPr>
          <w:b/>
          <w:bCs/>
          <w:lang w:val="en-IN"/>
        </w:rPr>
        <w:t xml:space="preserve"> </w:t>
      </w:r>
      <w:r>
        <w:rPr>
          <w:b/>
          <w:bCs/>
          <w:lang w:val="en-IN"/>
        </w:rPr>
        <w:t xml:space="preserve">Election Support Initiatives </w:t>
      </w:r>
    </w:p>
    <w:tbl>
      <w:tblPr>
        <w:tblW w:w="7360" w:type="dxa"/>
        <w:tblLook w:val="04A0" w:firstRow="1" w:lastRow="0" w:firstColumn="1" w:lastColumn="0" w:noHBand="0" w:noVBand="1"/>
      </w:tblPr>
      <w:tblGrid>
        <w:gridCol w:w="1840"/>
        <w:gridCol w:w="2040"/>
        <w:gridCol w:w="1620"/>
        <w:gridCol w:w="1860"/>
      </w:tblGrid>
      <w:tr w:rsidR="008A0CED" w:rsidRPr="00EA02CC" w14:paraId="484E02FA" w14:textId="77777777" w:rsidTr="002E5C71">
        <w:trPr>
          <w:trHeight w:val="560"/>
        </w:trPr>
        <w:tc>
          <w:tcPr>
            <w:tcW w:w="1840" w:type="dxa"/>
            <w:tcBorders>
              <w:top w:val="single" w:sz="4" w:space="0" w:color="auto"/>
              <w:left w:val="nil"/>
              <w:bottom w:val="single" w:sz="4" w:space="0" w:color="auto"/>
              <w:right w:val="nil"/>
            </w:tcBorders>
            <w:shd w:val="clear" w:color="auto" w:fill="auto"/>
            <w:vAlign w:val="center"/>
            <w:hideMark/>
          </w:tcPr>
          <w:p w14:paraId="4C84C1C7"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Outcome</w:t>
            </w:r>
          </w:p>
        </w:tc>
        <w:tc>
          <w:tcPr>
            <w:tcW w:w="2040" w:type="dxa"/>
            <w:tcBorders>
              <w:top w:val="single" w:sz="4" w:space="0" w:color="auto"/>
              <w:left w:val="nil"/>
              <w:bottom w:val="single" w:sz="4" w:space="0" w:color="auto"/>
              <w:right w:val="nil"/>
            </w:tcBorders>
            <w:shd w:val="clear" w:color="auto" w:fill="auto"/>
            <w:vAlign w:val="center"/>
            <w:hideMark/>
          </w:tcPr>
          <w:p w14:paraId="1C0AC6D0"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Average effect size</w:t>
            </w:r>
          </w:p>
        </w:tc>
        <w:tc>
          <w:tcPr>
            <w:tcW w:w="1620" w:type="dxa"/>
            <w:tcBorders>
              <w:top w:val="single" w:sz="4" w:space="0" w:color="auto"/>
              <w:left w:val="nil"/>
              <w:bottom w:val="single" w:sz="4" w:space="0" w:color="auto"/>
              <w:right w:val="nil"/>
            </w:tcBorders>
            <w:shd w:val="clear" w:color="auto" w:fill="auto"/>
            <w:vAlign w:val="center"/>
            <w:hideMark/>
          </w:tcPr>
          <w:p w14:paraId="6479D308"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No. of studies</w:t>
            </w:r>
          </w:p>
        </w:tc>
        <w:tc>
          <w:tcPr>
            <w:tcW w:w="1860" w:type="dxa"/>
            <w:tcBorders>
              <w:top w:val="single" w:sz="4" w:space="0" w:color="auto"/>
              <w:left w:val="nil"/>
              <w:bottom w:val="single" w:sz="4" w:space="0" w:color="auto"/>
              <w:right w:val="nil"/>
            </w:tcBorders>
            <w:shd w:val="clear" w:color="auto" w:fill="auto"/>
            <w:vAlign w:val="center"/>
            <w:hideMark/>
          </w:tcPr>
          <w:p w14:paraId="30A1BFF6"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No. of effect sizes</w:t>
            </w:r>
          </w:p>
        </w:tc>
      </w:tr>
      <w:tr w:rsidR="008A0CED" w:rsidRPr="00EA02CC" w14:paraId="306088F7" w14:textId="77777777" w:rsidTr="002E5C71">
        <w:trPr>
          <w:trHeight w:val="290"/>
        </w:trPr>
        <w:tc>
          <w:tcPr>
            <w:tcW w:w="1840" w:type="dxa"/>
            <w:tcBorders>
              <w:top w:val="nil"/>
              <w:left w:val="nil"/>
              <w:bottom w:val="nil"/>
              <w:right w:val="nil"/>
            </w:tcBorders>
            <w:shd w:val="clear" w:color="auto" w:fill="auto"/>
            <w:vAlign w:val="center"/>
            <w:hideMark/>
          </w:tcPr>
          <w:p w14:paraId="73D51D04"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Civic participation</w:t>
            </w:r>
          </w:p>
        </w:tc>
        <w:tc>
          <w:tcPr>
            <w:tcW w:w="2040" w:type="dxa"/>
            <w:tcBorders>
              <w:top w:val="nil"/>
              <w:left w:val="nil"/>
              <w:bottom w:val="nil"/>
              <w:right w:val="nil"/>
            </w:tcBorders>
            <w:shd w:val="clear" w:color="auto" w:fill="auto"/>
            <w:vAlign w:val="center"/>
            <w:hideMark/>
          </w:tcPr>
          <w:p w14:paraId="51C7076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-0.032</w:t>
            </w:r>
          </w:p>
        </w:tc>
        <w:tc>
          <w:tcPr>
            <w:tcW w:w="1620" w:type="dxa"/>
            <w:tcBorders>
              <w:top w:val="nil"/>
              <w:left w:val="nil"/>
              <w:bottom w:val="nil"/>
              <w:right w:val="nil"/>
            </w:tcBorders>
            <w:shd w:val="clear" w:color="auto" w:fill="auto"/>
            <w:vAlign w:val="center"/>
            <w:hideMark/>
          </w:tcPr>
          <w:p w14:paraId="5B7307DA"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c>
          <w:tcPr>
            <w:tcW w:w="1860" w:type="dxa"/>
            <w:tcBorders>
              <w:top w:val="nil"/>
              <w:left w:val="nil"/>
              <w:bottom w:val="nil"/>
              <w:right w:val="nil"/>
            </w:tcBorders>
            <w:shd w:val="clear" w:color="auto" w:fill="auto"/>
            <w:vAlign w:val="center"/>
            <w:hideMark/>
          </w:tcPr>
          <w:p w14:paraId="67011A7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9</w:t>
            </w:r>
          </w:p>
        </w:tc>
      </w:tr>
      <w:tr w:rsidR="008A0CED" w:rsidRPr="00EA02CC" w14:paraId="7058B6E3" w14:textId="77777777" w:rsidTr="002E5C71">
        <w:trPr>
          <w:trHeight w:val="560"/>
        </w:trPr>
        <w:tc>
          <w:tcPr>
            <w:tcW w:w="1840" w:type="dxa"/>
            <w:tcBorders>
              <w:top w:val="nil"/>
              <w:left w:val="nil"/>
              <w:bottom w:val="nil"/>
              <w:right w:val="nil"/>
            </w:tcBorders>
            <w:shd w:val="clear" w:color="auto" w:fill="auto"/>
            <w:vAlign w:val="center"/>
            <w:hideMark/>
          </w:tcPr>
          <w:p w14:paraId="027347BF"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Government performance</w:t>
            </w:r>
          </w:p>
        </w:tc>
        <w:tc>
          <w:tcPr>
            <w:tcW w:w="2040" w:type="dxa"/>
            <w:tcBorders>
              <w:top w:val="nil"/>
              <w:left w:val="nil"/>
              <w:bottom w:val="nil"/>
              <w:right w:val="nil"/>
            </w:tcBorders>
            <w:shd w:val="clear" w:color="auto" w:fill="auto"/>
            <w:vAlign w:val="center"/>
            <w:hideMark/>
          </w:tcPr>
          <w:p w14:paraId="1B941FF7"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0.121</w:t>
            </w:r>
          </w:p>
        </w:tc>
        <w:tc>
          <w:tcPr>
            <w:tcW w:w="1620" w:type="dxa"/>
            <w:tcBorders>
              <w:top w:val="nil"/>
              <w:left w:val="nil"/>
              <w:bottom w:val="nil"/>
              <w:right w:val="nil"/>
            </w:tcBorders>
            <w:shd w:val="clear" w:color="auto" w:fill="auto"/>
            <w:vAlign w:val="center"/>
            <w:hideMark/>
          </w:tcPr>
          <w:p w14:paraId="1C9AF557"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w:t>
            </w:r>
          </w:p>
        </w:tc>
        <w:tc>
          <w:tcPr>
            <w:tcW w:w="1860" w:type="dxa"/>
            <w:tcBorders>
              <w:top w:val="nil"/>
              <w:left w:val="nil"/>
              <w:bottom w:val="nil"/>
              <w:right w:val="nil"/>
            </w:tcBorders>
            <w:shd w:val="clear" w:color="auto" w:fill="auto"/>
            <w:vAlign w:val="center"/>
            <w:hideMark/>
          </w:tcPr>
          <w:p w14:paraId="7FC2D455"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w:t>
            </w:r>
          </w:p>
        </w:tc>
      </w:tr>
      <w:tr w:rsidR="008A0CED" w:rsidRPr="00EA02CC" w14:paraId="32377D7C" w14:textId="77777777" w:rsidTr="002E5C71">
        <w:trPr>
          <w:trHeight w:val="840"/>
        </w:trPr>
        <w:tc>
          <w:tcPr>
            <w:tcW w:w="1840" w:type="dxa"/>
            <w:tcBorders>
              <w:top w:val="nil"/>
              <w:left w:val="nil"/>
              <w:bottom w:val="nil"/>
              <w:right w:val="nil"/>
            </w:tcBorders>
            <w:shd w:val="clear" w:color="auto" w:fill="auto"/>
            <w:vAlign w:val="center"/>
            <w:hideMark/>
          </w:tcPr>
          <w:p w14:paraId="166D25F8"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Nature and scale of violence or atrocities</w:t>
            </w:r>
          </w:p>
        </w:tc>
        <w:tc>
          <w:tcPr>
            <w:tcW w:w="2040" w:type="dxa"/>
            <w:tcBorders>
              <w:top w:val="nil"/>
              <w:left w:val="nil"/>
              <w:bottom w:val="nil"/>
              <w:right w:val="nil"/>
            </w:tcBorders>
            <w:shd w:val="clear" w:color="auto" w:fill="auto"/>
            <w:vAlign w:val="center"/>
            <w:hideMark/>
          </w:tcPr>
          <w:p w14:paraId="7456462D"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-0.032</w:t>
            </w:r>
          </w:p>
        </w:tc>
        <w:tc>
          <w:tcPr>
            <w:tcW w:w="1620" w:type="dxa"/>
            <w:tcBorders>
              <w:top w:val="nil"/>
              <w:left w:val="nil"/>
              <w:bottom w:val="nil"/>
              <w:right w:val="nil"/>
            </w:tcBorders>
            <w:shd w:val="clear" w:color="auto" w:fill="auto"/>
            <w:vAlign w:val="center"/>
            <w:hideMark/>
          </w:tcPr>
          <w:p w14:paraId="2CCF173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6</w:t>
            </w:r>
          </w:p>
        </w:tc>
        <w:tc>
          <w:tcPr>
            <w:tcW w:w="1860" w:type="dxa"/>
            <w:tcBorders>
              <w:top w:val="nil"/>
              <w:left w:val="nil"/>
              <w:bottom w:val="nil"/>
              <w:right w:val="nil"/>
            </w:tcBorders>
            <w:shd w:val="clear" w:color="auto" w:fill="auto"/>
            <w:vAlign w:val="center"/>
            <w:hideMark/>
          </w:tcPr>
          <w:p w14:paraId="1FB9B3E8"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30</w:t>
            </w:r>
          </w:p>
        </w:tc>
      </w:tr>
      <w:tr w:rsidR="008A0CED" w:rsidRPr="00EA02CC" w14:paraId="36E45533" w14:textId="77777777" w:rsidTr="002E5C71">
        <w:trPr>
          <w:trHeight w:val="290"/>
        </w:trPr>
        <w:tc>
          <w:tcPr>
            <w:tcW w:w="1840" w:type="dxa"/>
            <w:tcBorders>
              <w:top w:val="nil"/>
              <w:left w:val="nil"/>
              <w:bottom w:val="nil"/>
              <w:right w:val="nil"/>
            </w:tcBorders>
            <w:shd w:val="clear" w:color="auto" w:fill="auto"/>
            <w:vAlign w:val="center"/>
            <w:hideMark/>
          </w:tcPr>
          <w:p w14:paraId="15D5CC5A"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Physical security</w:t>
            </w:r>
          </w:p>
        </w:tc>
        <w:tc>
          <w:tcPr>
            <w:tcW w:w="2040" w:type="dxa"/>
            <w:tcBorders>
              <w:top w:val="nil"/>
              <w:left w:val="nil"/>
              <w:bottom w:val="nil"/>
              <w:right w:val="nil"/>
            </w:tcBorders>
            <w:shd w:val="clear" w:color="auto" w:fill="auto"/>
            <w:vAlign w:val="center"/>
            <w:hideMark/>
          </w:tcPr>
          <w:p w14:paraId="460D450E"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0.137</w:t>
            </w:r>
          </w:p>
        </w:tc>
        <w:tc>
          <w:tcPr>
            <w:tcW w:w="1620" w:type="dxa"/>
            <w:tcBorders>
              <w:top w:val="nil"/>
              <w:left w:val="nil"/>
              <w:bottom w:val="nil"/>
              <w:right w:val="nil"/>
            </w:tcBorders>
            <w:shd w:val="clear" w:color="auto" w:fill="auto"/>
            <w:vAlign w:val="center"/>
            <w:hideMark/>
          </w:tcPr>
          <w:p w14:paraId="061EF1F2"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c>
          <w:tcPr>
            <w:tcW w:w="1860" w:type="dxa"/>
            <w:tcBorders>
              <w:top w:val="nil"/>
              <w:left w:val="nil"/>
              <w:bottom w:val="nil"/>
              <w:right w:val="nil"/>
            </w:tcBorders>
            <w:shd w:val="clear" w:color="auto" w:fill="auto"/>
            <w:vAlign w:val="center"/>
            <w:hideMark/>
          </w:tcPr>
          <w:p w14:paraId="6C348BCE"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r>
      <w:tr w:rsidR="008A0CED" w:rsidRPr="00EA02CC" w14:paraId="00205CAD" w14:textId="77777777" w:rsidTr="002E5C71">
        <w:trPr>
          <w:trHeight w:val="290"/>
        </w:trPr>
        <w:tc>
          <w:tcPr>
            <w:tcW w:w="1840" w:type="dxa"/>
            <w:tcBorders>
              <w:top w:val="nil"/>
              <w:left w:val="nil"/>
              <w:bottom w:val="nil"/>
              <w:right w:val="nil"/>
            </w:tcBorders>
            <w:shd w:val="clear" w:color="auto" w:fill="auto"/>
            <w:vAlign w:val="center"/>
            <w:hideMark/>
          </w:tcPr>
          <w:p w14:paraId="70A546A3"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Political security</w:t>
            </w:r>
          </w:p>
        </w:tc>
        <w:tc>
          <w:tcPr>
            <w:tcW w:w="2040" w:type="dxa"/>
            <w:tcBorders>
              <w:top w:val="nil"/>
              <w:left w:val="nil"/>
              <w:bottom w:val="nil"/>
              <w:right w:val="nil"/>
            </w:tcBorders>
            <w:shd w:val="clear" w:color="auto" w:fill="auto"/>
            <w:vAlign w:val="center"/>
            <w:hideMark/>
          </w:tcPr>
          <w:p w14:paraId="0F93D580"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0.165</w:t>
            </w:r>
          </w:p>
        </w:tc>
        <w:tc>
          <w:tcPr>
            <w:tcW w:w="1620" w:type="dxa"/>
            <w:tcBorders>
              <w:top w:val="nil"/>
              <w:left w:val="nil"/>
              <w:bottom w:val="nil"/>
              <w:right w:val="nil"/>
            </w:tcBorders>
            <w:shd w:val="clear" w:color="auto" w:fill="auto"/>
            <w:vAlign w:val="center"/>
            <w:hideMark/>
          </w:tcPr>
          <w:p w14:paraId="357253C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c>
          <w:tcPr>
            <w:tcW w:w="1860" w:type="dxa"/>
            <w:tcBorders>
              <w:top w:val="nil"/>
              <w:left w:val="nil"/>
              <w:bottom w:val="nil"/>
              <w:right w:val="nil"/>
            </w:tcBorders>
            <w:shd w:val="clear" w:color="auto" w:fill="auto"/>
            <w:vAlign w:val="center"/>
            <w:hideMark/>
          </w:tcPr>
          <w:p w14:paraId="7E042585"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15</w:t>
            </w:r>
          </w:p>
        </w:tc>
      </w:tr>
      <w:tr w:rsidR="008A0CED" w:rsidRPr="00EA02CC" w14:paraId="6F226310" w14:textId="77777777" w:rsidTr="002E5C71">
        <w:trPr>
          <w:trHeight w:val="1120"/>
        </w:trPr>
        <w:tc>
          <w:tcPr>
            <w:tcW w:w="1840" w:type="dxa"/>
            <w:tcBorders>
              <w:top w:val="nil"/>
              <w:left w:val="nil"/>
              <w:bottom w:val="single" w:sz="4" w:space="0" w:color="auto"/>
              <w:right w:val="nil"/>
            </w:tcBorders>
            <w:shd w:val="clear" w:color="auto" w:fill="auto"/>
            <w:vAlign w:val="center"/>
            <w:hideMark/>
          </w:tcPr>
          <w:p w14:paraId="749007FA" w14:textId="77777777" w:rsidR="008A0CED" w:rsidRPr="00EA02CC" w:rsidRDefault="008A0CED" w:rsidP="002E5C71">
            <w:pPr>
              <w:spacing w:line="240" w:lineRule="auto"/>
              <w:rPr>
                <w:rFonts w:eastAsia="Times New Roman"/>
                <w:color w:val="000000"/>
                <w:lang w:val="en-IN"/>
              </w:rPr>
            </w:pPr>
            <w:r w:rsidRPr="00EA02CC">
              <w:rPr>
                <w:rFonts w:eastAsia="Times New Roman"/>
                <w:color w:val="000000"/>
                <w:lang w:val="en-IN"/>
              </w:rPr>
              <w:t>Social norms regarding violence and atrocities</w:t>
            </w:r>
          </w:p>
        </w:tc>
        <w:tc>
          <w:tcPr>
            <w:tcW w:w="2040" w:type="dxa"/>
            <w:tcBorders>
              <w:top w:val="nil"/>
              <w:left w:val="nil"/>
              <w:bottom w:val="single" w:sz="4" w:space="0" w:color="auto"/>
              <w:right w:val="nil"/>
            </w:tcBorders>
            <w:shd w:val="clear" w:color="auto" w:fill="auto"/>
            <w:vAlign w:val="center"/>
            <w:hideMark/>
          </w:tcPr>
          <w:p w14:paraId="548EE553"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0.032</w:t>
            </w:r>
          </w:p>
        </w:tc>
        <w:tc>
          <w:tcPr>
            <w:tcW w:w="1620" w:type="dxa"/>
            <w:tcBorders>
              <w:top w:val="nil"/>
              <w:left w:val="nil"/>
              <w:bottom w:val="single" w:sz="4" w:space="0" w:color="auto"/>
              <w:right w:val="nil"/>
            </w:tcBorders>
            <w:shd w:val="clear" w:color="auto" w:fill="auto"/>
            <w:vAlign w:val="center"/>
            <w:hideMark/>
          </w:tcPr>
          <w:p w14:paraId="090091C6"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2</w:t>
            </w:r>
          </w:p>
        </w:tc>
        <w:tc>
          <w:tcPr>
            <w:tcW w:w="1860" w:type="dxa"/>
            <w:tcBorders>
              <w:top w:val="nil"/>
              <w:left w:val="nil"/>
              <w:bottom w:val="single" w:sz="4" w:space="0" w:color="auto"/>
              <w:right w:val="nil"/>
            </w:tcBorders>
            <w:shd w:val="clear" w:color="auto" w:fill="auto"/>
            <w:vAlign w:val="center"/>
            <w:hideMark/>
          </w:tcPr>
          <w:p w14:paraId="75E50CA1" w14:textId="77777777" w:rsidR="008A0CED" w:rsidRPr="00EA02CC" w:rsidRDefault="008A0CED" w:rsidP="002E5C71">
            <w:pPr>
              <w:spacing w:line="240" w:lineRule="auto"/>
              <w:jc w:val="right"/>
              <w:rPr>
                <w:rFonts w:eastAsia="Times New Roman"/>
                <w:color w:val="000000"/>
                <w:lang w:val="en-IN"/>
              </w:rPr>
            </w:pPr>
            <w:r w:rsidRPr="00EA02CC">
              <w:rPr>
                <w:rFonts w:eastAsia="Times New Roman"/>
                <w:color w:val="000000"/>
                <w:lang w:val="en-IN"/>
              </w:rPr>
              <w:t>5</w:t>
            </w:r>
          </w:p>
        </w:tc>
      </w:tr>
    </w:tbl>
    <w:p w14:paraId="153F5048" w14:textId="77777777" w:rsidR="008A0CED" w:rsidRPr="00CA20BB" w:rsidRDefault="008A0CED" w:rsidP="008A0CED">
      <w:pPr>
        <w:spacing w:afterLines="80" w:after="192" w:line="312" w:lineRule="auto"/>
        <w:rPr>
          <w:lang w:val="en-IN"/>
        </w:rPr>
      </w:pPr>
    </w:p>
    <w:p w14:paraId="38F78A30" w14:textId="77777777" w:rsidR="008A0CED" w:rsidRDefault="008A0CED" w:rsidP="008A0CED">
      <w:pPr>
        <w:rPr>
          <w:b/>
          <w:bCs/>
          <w:lang w:val="en-IN"/>
        </w:rPr>
      </w:pPr>
      <w:r w:rsidRPr="00CA20BB">
        <w:rPr>
          <w:lang w:val="en-IN"/>
        </w:rPr>
        <w:br/>
      </w:r>
      <w:r w:rsidRPr="00CA20BB">
        <w:rPr>
          <w:lang w:val="en-IN"/>
        </w:rPr>
        <w:br/>
      </w:r>
      <w:bookmarkStart w:id="6" w:name="_Toc193464445"/>
      <w:r>
        <w:rPr>
          <w:b/>
          <w:bCs/>
          <w:lang w:val="en-IN"/>
        </w:rPr>
        <w:br/>
      </w:r>
      <w:r>
        <w:rPr>
          <w:b/>
          <w:bCs/>
          <w:lang w:val="en-IN"/>
        </w:rPr>
        <w:br/>
      </w:r>
      <w:r>
        <w:rPr>
          <w:b/>
          <w:bCs/>
          <w:lang w:val="en-IN"/>
        </w:rPr>
        <w:br/>
      </w:r>
      <w:r>
        <w:rPr>
          <w:b/>
          <w:bCs/>
          <w:lang w:val="en-IN"/>
        </w:rPr>
        <w:br/>
      </w:r>
    </w:p>
    <w:p w14:paraId="0B7D177A" w14:textId="77777777" w:rsidR="008A0CED" w:rsidRDefault="008A0CED" w:rsidP="008A0CED">
      <w:pPr>
        <w:rPr>
          <w:b/>
          <w:bCs/>
          <w:lang w:val="en-IN"/>
        </w:rPr>
      </w:pPr>
    </w:p>
    <w:p w14:paraId="58FA5419" w14:textId="77777777" w:rsidR="008A0CED" w:rsidRDefault="008A0CED" w:rsidP="008A0CED">
      <w:pPr>
        <w:rPr>
          <w:b/>
          <w:bCs/>
          <w:lang w:val="en-IN"/>
        </w:rPr>
      </w:pPr>
    </w:p>
    <w:p w14:paraId="16792671" w14:textId="77777777" w:rsidR="008A0CED" w:rsidRDefault="008A0CED" w:rsidP="008A0CED">
      <w:pPr>
        <w:rPr>
          <w:b/>
          <w:bCs/>
          <w:lang w:val="en-IN"/>
        </w:rPr>
      </w:pPr>
    </w:p>
    <w:p w14:paraId="40C46AFB" w14:textId="77777777" w:rsidR="008A0CED" w:rsidRDefault="008A0CED" w:rsidP="008A0CED">
      <w:pPr>
        <w:rPr>
          <w:b/>
          <w:bCs/>
          <w:lang w:val="en-IN"/>
        </w:rPr>
      </w:pPr>
    </w:p>
    <w:p w14:paraId="4A490649" w14:textId="77777777" w:rsidR="008A0CED" w:rsidRDefault="008A0CED" w:rsidP="008A0CED">
      <w:pPr>
        <w:rPr>
          <w:b/>
          <w:bCs/>
          <w:lang w:val="en-IN"/>
        </w:rPr>
      </w:pPr>
    </w:p>
    <w:p w14:paraId="6E82F5F5" w14:textId="77777777" w:rsidR="008A0CED" w:rsidRPr="003B2A31" w:rsidRDefault="008A0CED" w:rsidP="008A0CED">
      <w:pPr>
        <w:pStyle w:val="Heading3"/>
        <w:rPr>
          <w:b/>
          <w:bCs/>
        </w:rPr>
      </w:pPr>
      <w:r>
        <w:rPr>
          <w:b/>
          <w:bCs/>
        </w:rPr>
        <w:br w:type="column"/>
      </w:r>
      <w:r w:rsidRPr="003B2A31">
        <w:rPr>
          <w:b/>
          <w:bCs/>
        </w:rPr>
        <w:lastRenderedPageBreak/>
        <w:t>Socio-Economic Foundations – Training and job creation programs.</w:t>
      </w:r>
      <w:bookmarkEnd w:id="6"/>
    </w:p>
    <w:p w14:paraId="3122B73C" w14:textId="77777777" w:rsidR="008A0CED" w:rsidRPr="00CA20BB" w:rsidRDefault="008A0CED" w:rsidP="008A0CED">
      <w:pPr>
        <w:spacing w:afterLines="80" w:after="192" w:line="312" w:lineRule="auto"/>
        <w:rPr>
          <w:lang w:val="en-IN"/>
        </w:rPr>
      </w:pPr>
    </w:p>
    <w:p w14:paraId="1BDC3CC2" w14:textId="77777777" w:rsidR="008A0CED" w:rsidRPr="00CA20BB" w:rsidRDefault="008A0CED" w:rsidP="008A0CED">
      <w:pPr>
        <w:spacing w:afterLines="80" w:after="192" w:line="312" w:lineRule="auto"/>
        <w:rPr>
          <w:lang w:val="en-IN"/>
        </w:rPr>
      </w:pPr>
      <w:r w:rsidRPr="00CA20BB">
        <w:rPr>
          <w:lang w:val="en-IN"/>
        </w:rPr>
        <w:t>Training and job creation programs, such as vocational training, business mentorship, and financial assistance interventions, summarize the evidence from 27 impact evaluation studies. The evidence shows that these interventions improve economic security by increasing employment rates, stabilizing income, enhancing psychosocial well-being, fostering trust and acceptance of diversity, and improving physical security. However, they have limited effects on food security and willingness to help and may have an adverse impact on educational outcomes.</w:t>
      </w:r>
    </w:p>
    <w:p w14:paraId="6B13AEA6" w14:textId="77777777" w:rsidR="008A0CED" w:rsidRPr="00CA20BB" w:rsidRDefault="008A0CED" w:rsidP="008A0CED">
      <w:pPr>
        <w:spacing w:afterLines="80" w:after="192" w:line="312" w:lineRule="auto"/>
        <w:rPr>
          <w:lang w:val="en-IN"/>
        </w:rPr>
      </w:pPr>
      <w:r w:rsidRPr="00CA20BB">
        <w:rPr>
          <w:lang w:val="en-IN"/>
        </w:rPr>
        <w:t>These interventions have a large pooled effect on social cohesion by integrating economic opportunities with psychosocial support. Programs like INVEST in Afghanistan and L.A.C.E.S. in Liberia show that vocational training alone has limited effects on self-efficacy, while sport-based programs improve social responsibility and a sense of purpose. The interventions also have a significant effect on trust and acceptance of diversity outcomes. Vocational training and business mentorship programs promote economic stability and social cohesion. In Uganda, inclusive refugee policies increased support for refugee rights, while in Somalia, employment programs promoted cohesion across clans and genders. However, in South Sudan, unmet expectations from a cash grant program eroded trust, and in Mozambique, economic training worsened perceptions of aggression.</w:t>
      </w:r>
    </w:p>
    <w:p w14:paraId="6D1FFDC7" w14:textId="77777777" w:rsidR="008A0CED" w:rsidRPr="00CA20BB" w:rsidRDefault="008A0CED" w:rsidP="008A0CED">
      <w:pPr>
        <w:spacing w:afterLines="80" w:after="192" w:line="312" w:lineRule="auto"/>
        <w:rPr>
          <w:lang w:val="en-IN"/>
        </w:rPr>
      </w:pPr>
      <w:r w:rsidRPr="00CA20BB">
        <w:rPr>
          <w:lang w:val="en-IN"/>
        </w:rPr>
        <w:t>The interventions have a moderate pooled effect on economic security, physical security, and a sense of belonging. Evidence from 15 impact evaluation studies suggests these interventions generally increase employment rates, stabilize incomes, and reduce reliance on illegal work. Notable examples include Liberia’s agricultural training program, which led to 77% engagement in farming, and Tanzania’s RukaJuu! initiative, where entrepreneurship training increased earnings by 146%. Public works programs, such as India’s NREGA, successfully stabilized incomes during economic shocks. However, their effects were mixed in fragile and gender-unequal settings where access to decent work remained limited. One systematic review found that technical and vocational training improved women entrepreneurs' capacities and access to assets, credit, and income. Employment programs also have a moderate effect on physical security by reducing fear of crime and promoting stability, particularly in African countries. In Burundi, Guinea, Liberia, Mali, and Uganda, job programs in vulnerable areas aimed to deter criminal activity and foster social cohesion. A pseudo-meta-analysis using a difference-in-differences (DID) approach found that these programs consistently lowered fear of crime, suggesting a positive effect on perceived security.</w:t>
      </w:r>
    </w:p>
    <w:p w14:paraId="7F57B5A6" w14:textId="77777777" w:rsidR="008A0CED" w:rsidRPr="00CA20BB" w:rsidRDefault="008A0CED" w:rsidP="008A0CED">
      <w:pPr>
        <w:spacing w:afterLines="80" w:after="192" w:line="312" w:lineRule="auto"/>
        <w:rPr>
          <w:lang w:val="en-IN"/>
        </w:rPr>
      </w:pPr>
      <w:r w:rsidRPr="00CA20BB">
        <w:rPr>
          <w:lang w:val="en-IN"/>
        </w:rPr>
        <w:t xml:space="preserve">The interventions have a small pooled effect on shifting social norms regarding violence and atrocities. While job training can reduce support for violence by improving economic security and social cohesion, its effectiveness in changing attitudes toward violence varies. Some programs decrease justification for violence, while others show limited or no impact. Some </w:t>
      </w:r>
      <w:r w:rsidRPr="00CA20BB">
        <w:rPr>
          <w:lang w:val="en-IN"/>
        </w:rPr>
        <w:lastRenderedPageBreak/>
        <w:t>positive associations were found between willingness to help and connectedness to other tribes. Studies in Liberia and Afghanistan show mixed results: in Liberia, participants were less likely to engage with armed recruiters but showed no increase in civic participation, while in Afghanistan, positive effects were found on social connectedness, particularly across tribal lines.</w:t>
      </w:r>
    </w:p>
    <w:p w14:paraId="62E092F8" w14:textId="77777777" w:rsidR="008A0CED" w:rsidRPr="00CA20BB" w:rsidRDefault="008A0CED" w:rsidP="008A0CED">
      <w:pPr>
        <w:spacing w:afterLines="80" w:after="192" w:line="312" w:lineRule="auto"/>
        <w:rPr>
          <w:lang w:val="en-IN"/>
        </w:rPr>
      </w:pPr>
      <w:r w:rsidRPr="00CA20BB">
        <w:rPr>
          <w:lang w:val="en-IN"/>
        </w:rPr>
        <w:t>Training and job creation programs have small effects on perceptions of government performance. While some initiatives improve trust in government, others have no effect or even reduce institutional confidence. Programs such as the ILO’s Youth Employment Somalia (YES) and Youth for Change (Y4C) initiatives, along with employment programs in Africa, show that while economic stability improves, governance perceptions remain varied.</w:t>
      </w:r>
    </w:p>
    <w:p w14:paraId="5C732310" w14:textId="77777777" w:rsidR="008A0CED" w:rsidRPr="00CA20BB" w:rsidRDefault="008A0CED" w:rsidP="008A0CED">
      <w:pPr>
        <w:spacing w:afterLines="80" w:after="192" w:line="312" w:lineRule="auto"/>
        <w:rPr>
          <w:lang w:val="en-IN"/>
        </w:rPr>
      </w:pPr>
      <w:r w:rsidRPr="00CA20BB">
        <w:rPr>
          <w:lang w:val="en-IN"/>
        </w:rPr>
        <w:t>The interventions have no pooled effect on the nature and scale of violence or atrocities. While some programs, such as cash-for-work initiatives and guaranteed employment schemes, reduce conflict intensity and improve stability, their effectiveness depends on governance capacity, security conditions, and economic factors. In Iraq, the ICRRP reduced grave violations against children, while India’s NREGS significantly lowered Maoist conflict violence. However, in some cases, job creation efforts correlated with increased state-led counterinsurgency operations, leading to temporary rises in violence.</w:t>
      </w:r>
    </w:p>
    <w:p w14:paraId="4814F707" w14:textId="77777777" w:rsidR="008A0CED" w:rsidRPr="00CA20BB" w:rsidRDefault="008A0CED" w:rsidP="008A0CED">
      <w:pPr>
        <w:spacing w:afterLines="80" w:after="192" w:line="312" w:lineRule="auto"/>
        <w:rPr>
          <w:lang w:val="en-IN"/>
        </w:rPr>
      </w:pPr>
      <w:r w:rsidRPr="00CA20BB">
        <w:rPr>
          <w:lang w:val="en-IN"/>
        </w:rPr>
        <w:t>Some adverse effects were observed. Training and job creation programs, particularly technical and vocational education (TVET), negatively impacted interest in politics while moderately improving women’s political participation. In Mozambique, employment training reduced political engagement among young Muslim men. Additionally, labor-intensive public works programs led to increased school absenteeism, reflecting trade-offs between short-term employment and educational security. The Sierra Leone Cash-for-Work (CfW) program improved economic outcomes but diverted time from education, showing no long-term employment or skill development benefits.</w:t>
      </w:r>
    </w:p>
    <w:p w14:paraId="675595B1" w14:textId="77777777" w:rsidR="008A0CED" w:rsidRDefault="008A0CED" w:rsidP="008A0CED">
      <w:pPr>
        <w:spacing w:afterLines="80" w:after="192" w:line="312" w:lineRule="auto"/>
        <w:rPr>
          <w:lang w:val="en-IN"/>
        </w:rPr>
      </w:pPr>
      <w:r w:rsidRPr="00CA20BB">
        <w:rPr>
          <w:lang w:val="en-IN"/>
        </w:rPr>
        <w:t xml:space="preserve">Overall, evidence from Sub-Saharan Africa, South Asia, Latin America, and global studies underscores that while training and job creation programs enhance economic security and stability, their impacts on social cohesion and governance remain </w:t>
      </w:r>
      <w:proofErr w:type="gramStart"/>
      <w:r w:rsidRPr="00CA20BB">
        <w:rPr>
          <w:lang w:val="en-IN"/>
        </w:rPr>
        <w:t>limited,no</w:t>
      </w:r>
      <w:proofErr w:type="gramEnd"/>
      <w:r w:rsidRPr="00CA20BB">
        <w:rPr>
          <w:lang w:val="en-IN"/>
        </w:rPr>
        <w:t xml:space="preserve"> effect on reducing the violence and atrocities, and have adverse effects on education and political. </w:t>
      </w:r>
    </w:p>
    <w:p w14:paraId="595C9272" w14:textId="77777777" w:rsidR="008A0CED" w:rsidRDefault="008A0CED" w:rsidP="008A0CED">
      <w:pPr>
        <w:spacing w:afterLines="80" w:after="192" w:line="312" w:lineRule="auto"/>
        <w:rPr>
          <w:lang w:val="en-IN"/>
        </w:rPr>
      </w:pPr>
    </w:p>
    <w:p w14:paraId="4F6B15E0" w14:textId="77777777" w:rsidR="008A0CED" w:rsidRPr="008E28E8" w:rsidRDefault="008A0CED" w:rsidP="008A0CED">
      <w:pPr>
        <w:spacing w:afterLines="80" w:after="192" w:line="312" w:lineRule="auto"/>
        <w:rPr>
          <w:b/>
          <w:bCs/>
          <w:lang w:val="en-IN"/>
        </w:rPr>
      </w:pPr>
      <w:r w:rsidRPr="008E28E8">
        <w:rPr>
          <w:b/>
          <w:bCs/>
          <w:lang w:val="en-IN"/>
        </w:rPr>
        <w:t>Table 9 - Effect of training &amp; job creation:</w:t>
      </w:r>
    </w:p>
    <w:tbl>
      <w:tblPr>
        <w:tblW w:w="7360" w:type="dxa"/>
        <w:tblLook w:val="04A0" w:firstRow="1" w:lastRow="0" w:firstColumn="1" w:lastColumn="0" w:noHBand="0" w:noVBand="1"/>
      </w:tblPr>
      <w:tblGrid>
        <w:gridCol w:w="1814"/>
        <w:gridCol w:w="1957"/>
        <w:gridCol w:w="1579"/>
        <w:gridCol w:w="1788"/>
        <w:gridCol w:w="222"/>
      </w:tblGrid>
      <w:tr w:rsidR="008A0CED" w:rsidRPr="008E28E8" w14:paraId="663C082E" w14:textId="77777777" w:rsidTr="002E5C71">
        <w:trPr>
          <w:gridAfter w:val="1"/>
          <w:wAfter w:w="222" w:type="dxa"/>
          <w:trHeight w:val="560"/>
        </w:trPr>
        <w:tc>
          <w:tcPr>
            <w:tcW w:w="1814" w:type="dxa"/>
            <w:tcBorders>
              <w:top w:val="single" w:sz="4" w:space="0" w:color="auto"/>
              <w:left w:val="nil"/>
              <w:bottom w:val="single" w:sz="4" w:space="0" w:color="auto"/>
              <w:right w:val="nil"/>
            </w:tcBorders>
            <w:shd w:val="clear" w:color="auto" w:fill="auto"/>
            <w:vAlign w:val="center"/>
            <w:hideMark/>
          </w:tcPr>
          <w:p w14:paraId="5A3312E2"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Outcome Sub-domain</w:t>
            </w:r>
          </w:p>
        </w:tc>
        <w:tc>
          <w:tcPr>
            <w:tcW w:w="1957" w:type="dxa"/>
            <w:tcBorders>
              <w:top w:val="single" w:sz="4" w:space="0" w:color="auto"/>
              <w:left w:val="nil"/>
              <w:bottom w:val="single" w:sz="4" w:space="0" w:color="auto"/>
              <w:right w:val="nil"/>
            </w:tcBorders>
            <w:shd w:val="clear" w:color="auto" w:fill="auto"/>
            <w:vAlign w:val="center"/>
            <w:hideMark/>
          </w:tcPr>
          <w:p w14:paraId="74684024"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Effect size </w:t>
            </w:r>
          </w:p>
        </w:tc>
        <w:tc>
          <w:tcPr>
            <w:tcW w:w="1579" w:type="dxa"/>
            <w:tcBorders>
              <w:top w:val="single" w:sz="4" w:space="0" w:color="auto"/>
              <w:left w:val="nil"/>
              <w:bottom w:val="single" w:sz="4" w:space="0" w:color="auto"/>
              <w:right w:val="nil"/>
            </w:tcBorders>
            <w:shd w:val="clear" w:color="auto" w:fill="auto"/>
            <w:vAlign w:val="center"/>
            <w:hideMark/>
          </w:tcPr>
          <w:p w14:paraId="5E718F53"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No. of Studies </w:t>
            </w:r>
          </w:p>
        </w:tc>
        <w:tc>
          <w:tcPr>
            <w:tcW w:w="1788" w:type="dxa"/>
            <w:tcBorders>
              <w:top w:val="single" w:sz="4" w:space="0" w:color="auto"/>
              <w:left w:val="nil"/>
              <w:bottom w:val="single" w:sz="4" w:space="0" w:color="auto"/>
              <w:right w:val="nil"/>
            </w:tcBorders>
            <w:shd w:val="clear" w:color="auto" w:fill="auto"/>
            <w:vAlign w:val="center"/>
            <w:hideMark/>
          </w:tcPr>
          <w:p w14:paraId="459452DF"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No. of effect sizes</w:t>
            </w:r>
          </w:p>
        </w:tc>
      </w:tr>
      <w:tr w:rsidR="008A0CED" w:rsidRPr="008E28E8" w14:paraId="647F6A05" w14:textId="77777777" w:rsidTr="002E5C71">
        <w:trPr>
          <w:gridAfter w:val="1"/>
          <w:wAfter w:w="222" w:type="dxa"/>
          <w:trHeight w:val="1120"/>
        </w:trPr>
        <w:tc>
          <w:tcPr>
            <w:tcW w:w="1814" w:type="dxa"/>
            <w:tcBorders>
              <w:top w:val="nil"/>
              <w:left w:val="nil"/>
              <w:bottom w:val="nil"/>
              <w:right w:val="nil"/>
            </w:tcBorders>
            <w:shd w:val="clear" w:color="auto" w:fill="auto"/>
            <w:vAlign w:val="center"/>
            <w:hideMark/>
          </w:tcPr>
          <w:p w14:paraId="2812BE61"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social norms regarding violence and atrocities</w:t>
            </w:r>
          </w:p>
        </w:tc>
        <w:tc>
          <w:tcPr>
            <w:tcW w:w="1957" w:type="dxa"/>
            <w:tcBorders>
              <w:top w:val="nil"/>
              <w:left w:val="nil"/>
              <w:bottom w:val="nil"/>
              <w:right w:val="nil"/>
            </w:tcBorders>
            <w:shd w:val="clear" w:color="auto" w:fill="auto"/>
            <w:vAlign w:val="center"/>
            <w:hideMark/>
          </w:tcPr>
          <w:p w14:paraId="721E57C4"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0.1</w:t>
            </w:r>
          </w:p>
        </w:tc>
        <w:tc>
          <w:tcPr>
            <w:tcW w:w="1579" w:type="dxa"/>
            <w:tcBorders>
              <w:top w:val="nil"/>
              <w:left w:val="nil"/>
              <w:bottom w:val="nil"/>
              <w:right w:val="nil"/>
            </w:tcBorders>
            <w:shd w:val="clear" w:color="auto" w:fill="auto"/>
            <w:vAlign w:val="center"/>
            <w:hideMark/>
          </w:tcPr>
          <w:p w14:paraId="1119F3D1"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6</w:t>
            </w:r>
          </w:p>
        </w:tc>
        <w:tc>
          <w:tcPr>
            <w:tcW w:w="1788" w:type="dxa"/>
            <w:tcBorders>
              <w:top w:val="nil"/>
              <w:left w:val="nil"/>
              <w:bottom w:val="nil"/>
              <w:right w:val="nil"/>
            </w:tcBorders>
            <w:shd w:val="clear" w:color="auto" w:fill="auto"/>
            <w:vAlign w:val="center"/>
            <w:hideMark/>
          </w:tcPr>
          <w:p w14:paraId="2BAB44E9"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41</w:t>
            </w:r>
          </w:p>
        </w:tc>
      </w:tr>
      <w:tr w:rsidR="008A0CED" w:rsidRPr="008E28E8" w14:paraId="4F091EDC" w14:textId="77777777" w:rsidTr="002E5C71">
        <w:trPr>
          <w:gridAfter w:val="1"/>
          <w:wAfter w:w="222" w:type="dxa"/>
          <w:trHeight w:val="540"/>
        </w:trPr>
        <w:tc>
          <w:tcPr>
            <w:tcW w:w="1814" w:type="dxa"/>
            <w:vMerge w:val="restart"/>
            <w:tcBorders>
              <w:top w:val="nil"/>
              <w:left w:val="nil"/>
              <w:bottom w:val="nil"/>
              <w:right w:val="nil"/>
            </w:tcBorders>
            <w:shd w:val="clear" w:color="auto" w:fill="auto"/>
            <w:vAlign w:val="center"/>
            <w:hideMark/>
          </w:tcPr>
          <w:p w14:paraId="071337AF"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willingness to participate or help </w:t>
            </w:r>
          </w:p>
        </w:tc>
        <w:tc>
          <w:tcPr>
            <w:tcW w:w="1957" w:type="dxa"/>
            <w:vMerge w:val="restart"/>
            <w:tcBorders>
              <w:top w:val="nil"/>
              <w:left w:val="nil"/>
              <w:bottom w:val="nil"/>
              <w:right w:val="nil"/>
            </w:tcBorders>
            <w:shd w:val="clear" w:color="auto" w:fill="auto"/>
            <w:vAlign w:val="center"/>
            <w:hideMark/>
          </w:tcPr>
          <w:p w14:paraId="074BDD57"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0.064</w:t>
            </w:r>
          </w:p>
        </w:tc>
        <w:tc>
          <w:tcPr>
            <w:tcW w:w="1579" w:type="dxa"/>
            <w:vMerge w:val="restart"/>
            <w:tcBorders>
              <w:top w:val="nil"/>
              <w:left w:val="nil"/>
              <w:bottom w:val="nil"/>
              <w:right w:val="nil"/>
            </w:tcBorders>
            <w:shd w:val="clear" w:color="auto" w:fill="auto"/>
            <w:vAlign w:val="center"/>
            <w:hideMark/>
          </w:tcPr>
          <w:p w14:paraId="0476FEE4"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2</w:t>
            </w:r>
          </w:p>
        </w:tc>
        <w:tc>
          <w:tcPr>
            <w:tcW w:w="1788" w:type="dxa"/>
            <w:vMerge w:val="restart"/>
            <w:tcBorders>
              <w:top w:val="nil"/>
              <w:left w:val="nil"/>
              <w:bottom w:val="nil"/>
              <w:right w:val="nil"/>
            </w:tcBorders>
            <w:shd w:val="clear" w:color="auto" w:fill="auto"/>
            <w:vAlign w:val="center"/>
            <w:hideMark/>
          </w:tcPr>
          <w:p w14:paraId="641D31B7"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3</w:t>
            </w:r>
          </w:p>
        </w:tc>
      </w:tr>
      <w:tr w:rsidR="008A0CED" w:rsidRPr="008E28E8" w14:paraId="0C0AF6D3" w14:textId="77777777" w:rsidTr="002E5C71">
        <w:trPr>
          <w:trHeight w:val="290"/>
        </w:trPr>
        <w:tc>
          <w:tcPr>
            <w:tcW w:w="1814" w:type="dxa"/>
            <w:vMerge/>
            <w:tcBorders>
              <w:top w:val="nil"/>
              <w:left w:val="nil"/>
              <w:bottom w:val="nil"/>
              <w:right w:val="nil"/>
            </w:tcBorders>
            <w:vAlign w:val="center"/>
            <w:hideMark/>
          </w:tcPr>
          <w:p w14:paraId="2BF1AE8C" w14:textId="77777777" w:rsidR="008A0CED" w:rsidRPr="008E28E8" w:rsidRDefault="008A0CED" w:rsidP="002E5C71">
            <w:pPr>
              <w:spacing w:line="240" w:lineRule="auto"/>
              <w:rPr>
                <w:rFonts w:eastAsia="Times New Roman"/>
                <w:color w:val="000000"/>
                <w:lang w:val="en-IN"/>
              </w:rPr>
            </w:pPr>
          </w:p>
        </w:tc>
        <w:tc>
          <w:tcPr>
            <w:tcW w:w="1957" w:type="dxa"/>
            <w:vMerge/>
            <w:tcBorders>
              <w:top w:val="nil"/>
              <w:left w:val="nil"/>
              <w:bottom w:val="nil"/>
              <w:right w:val="nil"/>
            </w:tcBorders>
            <w:vAlign w:val="center"/>
            <w:hideMark/>
          </w:tcPr>
          <w:p w14:paraId="71C1F56B" w14:textId="77777777" w:rsidR="008A0CED" w:rsidRPr="008E28E8" w:rsidRDefault="008A0CED" w:rsidP="002E5C71">
            <w:pPr>
              <w:spacing w:line="240" w:lineRule="auto"/>
              <w:rPr>
                <w:rFonts w:eastAsia="Times New Roman"/>
                <w:color w:val="000000"/>
                <w:lang w:val="en-IN"/>
              </w:rPr>
            </w:pPr>
          </w:p>
        </w:tc>
        <w:tc>
          <w:tcPr>
            <w:tcW w:w="1579" w:type="dxa"/>
            <w:vMerge/>
            <w:tcBorders>
              <w:top w:val="nil"/>
              <w:left w:val="nil"/>
              <w:bottom w:val="nil"/>
              <w:right w:val="nil"/>
            </w:tcBorders>
            <w:vAlign w:val="center"/>
            <w:hideMark/>
          </w:tcPr>
          <w:p w14:paraId="38F0EB6E" w14:textId="77777777" w:rsidR="008A0CED" w:rsidRPr="008E28E8" w:rsidRDefault="008A0CED" w:rsidP="002E5C71">
            <w:pPr>
              <w:spacing w:line="240" w:lineRule="auto"/>
              <w:rPr>
                <w:rFonts w:eastAsia="Times New Roman"/>
                <w:color w:val="000000"/>
                <w:lang w:val="en-IN"/>
              </w:rPr>
            </w:pPr>
          </w:p>
        </w:tc>
        <w:tc>
          <w:tcPr>
            <w:tcW w:w="1788" w:type="dxa"/>
            <w:vMerge/>
            <w:tcBorders>
              <w:top w:val="nil"/>
              <w:left w:val="nil"/>
              <w:bottom w:val="nil"/>
              <w:right w:val="nil"/>
            </w:tcBorders>
            <w:vAlign w:val="center"/>
            <w:hideMark/>
          </w:tcPr>
          <w:p w14:paraId="0D84A19F" w14:textId="77777777" w:rsidR="008A0CED" w:rsidRPr="008E28E8" w:rsidRDefault="008A0CED" w:rsidP="002E5C71">
            <w:pPr>
              <w:spacing w:line="240" w:lineRule="auto"/>
              <w:rPr>
                <w:rFonts w:eastAsia="Times New Roman"/>
                <w:color w:val="000000"/>
                <w:lang w:val="en-IN"/>
              </w:rPr>
            </w:pPr>
          </w:p>
        </w:tc>
        <w:tc>
          <w:tcPr>
            <w:tcW w:w="222" w:type="dxa"/>
            <w:tcBorders>
              <w:top w:val="nil"/>
              <w:left w:val="nil"/>
              <w:bottom w:val="nil"/>
              <w:right w:val="nil"/>
            </w:tcBorders>
            <w:shd w:val="clear" w:color="auto" w:fill="auto"/>
            <w:noWrap/>
            <w:vAlign w:val="bottom"/>
            <w:hideMark/>
          </w:tcPr>
          <w:p w14:paraId="34390F41" w14:textId="77777777" w:rsidR="008A0CED" w:rsidRPr="008E28E8" w:rsidRDefault="008A0CED" w:rsidP="002E5C71">
            <w:pPr>
              <w:spacing w:line="240" w:lineRule="auto"/>
              <w:jc w:val="right"/>
              <w:rPr>
                <w:rFonts w:eastAsia="Times New Roman"/>
                <w:color w:val="000000"/>
                <w:lang w:val="en-IN"/>
              </w:rPr>
            </w:pPr>
          </w:p>
        </w:tc>
      </w:tr>
      <w:tr w:rsidR="008A0CED" w:rsidRPr="008E28E8" w14:paraId="386CA51B" w14:textId="77777777" w:rsidTr="002E5C71">
        <w:trPr>
          <w:trHeight w:val="560"/>
        </w:trPr>
        <w:tc>
          <w:tcPr>
            <w:tcW w:w="1814" w:type="dxa"/>
            <w:tcBorders>
              <w:top w:val="nil"/>
              <w:left w:val="nil"/>
              <w:bottom w:val="nil"/>
              <w:right w:val="nil"/>
            </w:tcBorders>
            <w:shd w:val="clear" w:color="auto" w:fill="auto"/>
            <w:vAlign w:val="center"/>
            <w:hideMark/>
          </w:tcPr>
          <w:p w14:paraId="1BABB7B3"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government performance</w:t>
            </w:r>
          </w:p>
        </w:tc>
        <w:tc>
          <w:tcPr>
            <w:tcW w:w="1957" w:type="dxa"/>
            <w:tcBorders>
              <w:top w:val="nil"/>
              <w:left w:val="nil"/>
              <w:bottom w:val="nil"/>
              <w:right w:val="nil"/>
            </w:tcBorders>
            <w:shd w:val="clear" w:color="auto" w:fill="auto"/>
            <w:vAlign w:val="center"/>
            <w:hideMark/>
          </w:tcPr>
          <w:p w14:paraId="25B3069A"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0.051</w:t>
            </w:r>
          </w:p>
        </w:tc>
        <w:tc>
          <w:tcPr>
            <w:tcW w:w="1579" w:type="dxa"/>
            <w:tcBorders>
              <w:top w:val="nil"/>
              <w:left w:val="nil"/>
              <w:bottom w:val="nil"/>
              <w:right w:val="nil"/>
            </w:tcBorders>
            <w:shd w:val="clear" w:color="auto" w:fill="auto"/>
            <w:vAlign w:val="center"/>
            <w:hideMark/>
          </w:tcPr>
          <w:p w14:paraId="6010FABD"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5</w:t>
            </w:r>
          </w:p>
        </w:tc>
        <w:tc>
          <w:tcPr>
            <w:tcW w:w="1788" w:type="dxa"/>
            <w:tcBorders>
              <w:top w:val="nil"/>
              <w:left w:val="nil"/>
              <w:bottom w:val="nil"/>
              <w:right w:val="nil"/>
            </w:tcBorders>
            <w:shd w:val="clear" w:color="auto" w:fill="auto"/>
            <w:vAlign w:val="center"/>
            <w:hideMark/>
          </w:tcPr>
          <w:p w14:paraId="067018BA"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29</w:t>
            </w:r>
          </w:p>
        </w:tc>
        <w:tc>
          <w:tcPr>
            <w:tcW w:w="222" w:type="dxa"/>
            <w:vAlign w:val="center"/>
            <w:hideMark/>
          </w:tcPr>
          <w:p w14:paraId="157158E9"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42B8002A" w14:textId="77777777" w:rsidTr="002E5C71">
        <w:trPr>
          <w:trHeight w:val="840"/>
        </w:trPr>
        <w:tc>
          <w:tcPr>
            <w:tcW w:w="1814" w:type="dxa"/>
            <w:tcBorders>
              <w:top w:val="nil"/>
              <w:left w:val="nil"/>
              <w:bottom w:val="nil"/>
              <w:right w:val="nil"/>
            </w:tcBorders>
            <w:shd w:val="clear" w:color="auto" w:fill="auto"/>
            <w:vAlign w:val="center"/>
            <w:hideMark/>
          </w:tcPr>
          <w:p w14:paraId="3B06DB12"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food security and nutrition &amp; health security</w:t>
            </w:r>
          </w:p>
        </w:tc>
        <w:tc>
          <w:tcPr>
            <w:tcW w:w="1957" w:type="dxa"/>
            <w:tcBorders>
              <w:top w:val="nil"/>
              <w:left w:val="nil"/>
              <w:bottom w:val="nil"/>
              <w:right w:val="nil"/>
            </w:tcBorders>
            <w:shd w:val="clear" w:color="auto" w:fill="auto"/>
            <w:vAlign w:val="center"/>
            <w:hideMark/>
          </w:tcPr>
          <w:p w14:paraId="110F0859"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0.036</w:t>
            </w:r>
          </w:p>
        </w:tc>
        <w:tc>
          <w:tcPr>
            <w:tcW w:w="1579" w:type="dxa"/>
            <w:tcBorders>
              <w:top w:val="nil"/>
              <w:left w:val="nil"/>
              <w:bottom w:val="nil"/>
              <w:right w:val="nil"/>
            </w:tcBorders>
            <w:shd w:val="clear" w:color="auto" w:fill="auto"/>
            <w:vAlign w:val="center"/>
            <w:hideMark/>
          </w:tcPr>
          <w:p w14:paraId="08C00AC3"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3</w:t>
            </w:r>
          </w:p>
        </w:tc>
        <w:tc>
          <w:tcPr>
            <w:tcW w:w="1788" w:type="dxa"/>
            <w:tcBorders>
              <w:top w:val="nil"/>
              <w:left w:val="nil"/>
              <w:bottom w:val="nil"/>
              <w:right w:val="nil"/>
            </w:tcBorders>
            <w:shd w:val="clear" w:color="auto" w:fill="auto"/>
            <w:vAlign w:val="center"/>
            <w:hideMark/>
          </w:tcPr>
          <w:p w14:paraId="4A6998CE"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6</w:t>
            </w:r>
          </w:p>
        </w:tc>
        <w:tc>
          <w:tcPr>
            <w:tcW w:w="222" w:type="dxa"/>
            <w:vAlign w:val="center"/>
            <w:hideMark/>
          </w:tcPr>
          <w:p w14:paraId="5017F8FE"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6678490F" w14:textId="77777777" w:rsidTr="002E5C71">
        <w:trPr>
          <w:trHeight w:val="840"/>
        </w:trPr>
        <w:tc>
          <w:tcPr>
            <w:tcW w:w="1814" w:type="dxa"/>
            <w:tcBorders>
              <w:top w:val="nil"/>
              <w:left w:val="nil"/>
              <w:bottom w:val="nil"/>
              <w:right w:val="nil"/>
            </w:tcBorders>
            <w:shd w:val="clear" w:color="auto" w:fill="auto"/>
            <w:vAlign w:val="center"/>
            <w:hideMark/>
          </w:tcPr>
          <w:p w14:paraId="27EB2792"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nature and scale of violence or atrocities</w:t>
            </w:r>
          </w:p>
        </w:tc>
        <w:tc>
          <w:tcPr>
            <w:tcW w:w="1957" w:type="dxa"/>
            <w:tcBorders>
              <w:top w:val="nil"/>
              <w:left w:val="nil"/>
              <w:bottom w:val="nil"/>
              <w:right w:val="nil"/>
            </w:tcBorders>
            <w:shd w:val="clear" w:color="auto" w:fill="auto"/>
            <w:vAlign w:val="center"/>
            <w:hideMark/>
          </w:tcPr>
          <w:p w14:paraId="0359DD7D"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0.01</w:t>
            </w:r>
          </w:p>
        </w:tc>
        <w:tc>
          <w:tcPr>
            <w:tcW w:w="1579" w:type="dxa"/>
            <w:tcBorders>
              <w:top w:val="nil"/>
              <w:left w:val="nil"/>
              <w:bottom w:val="nil"/>
              <w:right w:val="nil"/>
            </w:tcBorders>
            <w:shd w:val="clear" w:color="auto" w:fill="auto"/>
            <w:vAlign w:val="center"/>
            <w:hideMark/>
          </w:tcPr>
          <w:p w14:paraId="2992C8E5"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7</w:t>
            </w:r>
          </w:p>
        </w:tc>
        <w:tc>
          <w:tcPr>
            <w:tcW w:w="1788" w:type="dxa"/>
            <w:tcBorders>
              <w:top w:val="nil"/>
              <w:left w:val="nil"/>
              <w:bottom w:val="nil"/>
              <w:right w:val="nil"/>
            </w:tcBorders>
            <w:shd w:val="clear" w:color="auto" w:fill="auto"/>
            <w:vAlign w:val="center"/>
            <w:hideMark/>
          </w:tcPr>
          <w:p w14:paraId="7F31D3C7"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41</w:t>
            </w:r>
          </w:p>
        </w:tc>
        <w:tc>
          <w:tcPr>
            <w:tcW w:w="222" w:type="dxa"/>
            <w:vAlign w:val="center"/>
            <w:hideMark/>
          </w:tcPr>
          <w:p w14:paraId="35966A49"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3FD841E6" w14:textId="77777777" w:rsidTr="002E5C71">
        <w:trPr>
          <w:trHeight w:val="560"/>
        </w:trPr>
        <w:tc>
          <w:tcPr>
            <w:tcW w:w="1814" w:type="dxa"/>
            <w:tcBorders>
              <w:top w:val="nil"/>
              <w:left w:val="nil"/>
              <w:bottom w:val="nil"/>
              <w:right w:val="nil"/>
            </w:tcBorders>
            <w:shd w:val="clear" w:color="auto" w:fill="auto"/>
            <w:vAlign w:val="center"/>
            <w:hideMark/>
          </w:tcPr>
          <w:p w14:paraId="2F97BCC9"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economic security</w:t>
            </w:r>
          </w:p>
        </w:tc>
        <w:tc>
          <w:tcPr>
            <w:tcW w:w="1957" w:type="dxa"/>
            <w:tcBorders>
              <w:top w:val="nil"/>
              <w:left w:val="nil"/>
              <w:bottom w:val="nil"/>
              <w:right w:val="nil"/>
            </w:tcBorders>
            <w:shd w:val="clear" w:color="auto" w:fill="auto"/>
            <w:vAlign w:val="center"/>
            <w:hideMark/>
          </w:tcPr>
          <w:p w14:paraId="6B3239EB"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0.188</w:t>
            </w:r>
          </w:p>
        </w:tc>
        <w:tc>
          <w:tcPr>
            <w:tcW w:w="1579" w:type="dxa"/>
            <w:tcBorders>
              <w:top w:val="nil"/>
              <w:left w:val="nil"/>
              <w:bottom w:val="nil"/>
              <w:right w:val="nil"/>
            </w:tcBorders>
            <w:shd w:val="clear" w:color="auto" w:fill="auto"/>
            <w:vAlign w:val="center"/>
            <w:hideMark/>
          </w:tcPr>
          <w:p w14:paraId="00E4D07B"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15</w:t>
            </w:r>
          </w:p>
        </w:tc>
        <w:tc>
          <w:tcPr>
            <w:tcW w:w="1788" w:type="dxa"/>
            <w:tcBorders>
              <w:top w:val="nil"/>
              <w:left w:val="nil"/>
              <w:bottom w:val="nil"/>
              <w:right w:val="nil"/>
            </w:tcBorders>
            <w:shd w:val="clear" w:color="auto" w:fill="auto"/>
            <w:vAlign w:val="center"/>
            <w:hideMark/>
          </w:tcPr>
          <w:p w14:paraId="651EA592"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190</w:t>
            </w:r>
          </w:p>
        </w:tc>
        <w:tc>
          <w:tcPr>
            <w:tcW w:w="222" w:type="dxa"/>
            <w:vAlign w:val="center"/>
            <w:hideMark/>
          </w:tcPr>
          <w:p w14:paraId="63C2B64B"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6662318C" w14:textId="77777777" w:rsidTr="002E5C71">
        <w:trPr>
          <w:trHeight w:val="290"/>
        </w:trPr>
        <w:tc>
          <w:tcPr>
            <w:tcW w:w="1814" w:type="dxa"/>
            <w:tcBorders>
              <w:top w:val="nil"/>
              <w:left w:val="nil"/>
              <w:bottom w:val="nil"/>
              <w:right w:val="nil"/>
            </w:tcBorders>
            <w:shd w:val="clear" w:color="auto" w:fill="auto"/>
            <w:vAlign w:val="center"/>
            <w:hideMark/>
          </w:tcPr>
          <w:p w14:paraId="6664E88C"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physical security </w:t>
            </w:r>
          </w:p>
        </w:tc>
        <w:tc>
          <w:tcPr>
            <w:tcW w:w="1957" w:type="dxa"/>
            <w:tcBorders>
              <w:top w:val="nil"/>
              <w:left w:val="nil"/>
              <w:bottom w:val="nil"/>
              <w:right w:val="nil"/>
            </w:tcBorders>
            <w:shd w:val="clear" w:color="auto" w:fill="auto"/>
            <w:vAlign w:val="center"/>
            <w:hideMark/>
          </w:tcPr>
          <w:p w14:paraId="483A3473"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0.154</w:t>
            </w:r>
          </w:p>
        </w:tc>
        <w:tc>
          <w:tcPr>
            <w:tcW w:w="1579" w:type="dxa"/>
            <w:tcBorders>
              <w:top w:val="nil"/>
              <w:left w:val="nil"/>
              <w:bottom w:val="nil"/>
              <w:right w:val="nil"/>
            </w:tcBorders>
            <w:shd w:val="clear" w:color="auto" w:fill="auto"/>
            <w:vAlign w:val="center"/>
            <w:hideMark/>
          </w:tcPr>
          <w:p w14:paraId="7BFB07B3"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w:t>
            </w:r>
          </w:p>
        </w:tc>
        <w:tc>
          <w:tcPr>
            <w:tcW w:w="1788" w:type="dxa"/>
            <w:tcBorders>
              <w:top w:val="nil"/>
              <w:left w:val="nil"/>
              <w:bottom w:val="nil"/>
              <w:right w:val="nil"/>
            </w:tcBorders>
            <w:shd w:val="clear" w:color="auto" w:fill="auto"/>
            <w:vAlign w:val="center"/>
            <w:hideMark/>
          </w:tcPr>
          <w:p w14:paraId="68635BC1"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w:t>
            </w:r>
          </w:p>
        </w:tc>
        <w:tc>
          <w:tcPr>
            <w:tcW w:w="222" w:type="dxa"/>
            <w:vAlign w:val="center"/>
            <w:hideMark/>
          </w:tcPr>
          <w:p w14:paraId="46C3F386"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33F9F3F0" w14:textId="77777777" w:rsidTr="002E5C71">
        <w:trPr>
          <w:trHeight w:val="560"/>
        </w:trPr>
        <w:tc>
          <w:tcPr>
            <w:tcW w:w="1814" w:type="dxa"/>
            <w:tcBorders>
              <w:top w:val="nil"/>
              <w:left w:val="nil"/>
              <w:bottom w:val="nil"/>
              <w:right w:val="nil"/>
            </w:tcBorders>
            <w:shd w:val="clear" w:color="auto" w:fill="auto"/>
            <w:vAlign w:val="center"/>
            <w:hideMark/>
          </w:tcPr>
          <w:p w14:paraId="6013A7D7"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sense of belonging</w:t>
            </w:r>
          </w:p>
        </w:tc>
        <w:tc>
          <w:tcPr>
            <w:tcW w:w="1957" w:type="dxa"/>
            <w:tcBorders>
              <w:top w:val="nil"/>
              <w:left w:val="nil"/>
              <w:bottom w:val="nil"/>
              <w:right w:val="nil"/>
            </w:tcBorders>
            <w:shd w:val="clear" w:color="auto" w:fill="auto"/>
            <w:vAlign w:val="center"/>
            <w:hideMark/>
          </w:tcPr>
          <w:p w14:paraId="6D1AD718"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0.114</w:t>
            </w:r>
          </w:p>
        </w:tc>
        <w:tc>
          <w:tcPr>
            <w:tcW w:w="1579" w:type="dxa"/>
            <w:tcBorders>
              <w:top w:val="nil"/>
              <w:left w:val="nil"/>
              <w:bottom w:val="nil"/>
              <w:right w:val="nil"/>
            </w:tcBorders>
            <w:shd w:val="clear" w:color="auto" w:fill="auto"/>
            <w:vAlign w:val="center"/>
            <w:hideMark/>
          </w:tcPr>
          <w:p w14:paraId="39BA9474"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2</w:t>
            </w:r>
          </w:p>
        </w:tc>
        <w:tc>
          <w:tcPr>
            <w:tcW w:w="1788" w:type="dxa"/>
            <w:tcBorders>
              <w:top w:val="nil"/>
              <w:left w:val="nil"/>
              <w:bottom w:val="nil"/>
              <w:right w:val="nil"/>
            </w:tcBorders>
            <w:shd w:val="clear" w:color="auto" w:fill="auto"/>
            <w:vAlign w:val="center"/>
            <w:hideMark/>
          </w:tcPr>
          <w:p w14:paraId="45DDECCC"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13</w:t>
            </w:r>
          </w:p>
        </w:tc>
        <w:tc>
          <w:tcPr>
            <w:tcW w:w="222" w:type="dxa"/>
            <w:vAlign w:val="center"/>
            <w:hideMark/>
          </w:tcPr>
          <w:p w14:paraId="6DD232F6"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7D67FFF0" w14:textId="77777777" w:rsidTr="002E5C71">
        <w:trPr>
          <w:trHeight w:val="560"/>
        </w:trPr>
        <w:tc>
          <w:tcPr>
            <w:tcW w:w="1814" w:type="dxa"/>
            <w:tcBorders>
              <w:top w:val="nil"/>
              <w:left w:val="nil"/>
              <w:bottom w:val="nil"/>
              <w:right w:val="nil"/>
            </w:tcBorders>
            <w:shd w:val="clear" w:color="auto" w:fill="auto"/>
            <w:vAlign w:val="center"/>
            <w:hideMark/>
          </w:tcPr>
          <w:p w14:paraId="17101FAC"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intermediate social cohesion</w:t>
            </w:r>
          </w:p>
        </w:tc>
        <w:tc>
          <w:tcPr>
            <w:tcW w:w="1957" w:type="dxa"/>
            <w:tcBorders>
              <w:top w:val="nil"/>
              <w:left w:val="nil"/>
              <w:bottom w:val="nil"/>
              <w:right w:val="nil"/>
            </w:tcBorders>
            <w:shd w:val="clear" w:color="auto" w:fill="auto"/>
            <w:vAlign w:val="center"/>
            <w:hideMark/>
          </w:tcPr>
          <w:p w14:paraId="609BC906"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0.26</w:t>
            </w:r>
          </w:p>
        </w:tc>
        <w:tc>
          <w:tcPr>
            <w:tcW w:w="1579" w:type="dxa"/>
            <w:tcBorders>
              <w:top w:val="nil"/>
              <w:left w:val="nil"/>
              <w:bottom w:val="nil"/>
              <w:right w:val="nil"/>
            </w:tcBorders>
            <w:shd w:val="clear" w:color="auto" w:fill="auto"/>
            <w:vAlign w:val="center"/>
            <w:hideMark/>
          </w:tcPr>
          <w:p w14:paraId="537BC637"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3</w:t>
            </w:r>
          </w:p>
        </w:tc>
        <w:tc>
          <w:tcPr>
            <w:tcW w:w="1788" w:type="dxa"/>
            <w:tcBorders>
              <w:top w:val="nil"/>
              <w:left w:val="nil"/>
              <w:bottom w:val="nil"/>
              <w:right w:val="nil"/>
            </w:tcBorders>
            <w:shd w:val="clear" w:color="auto" w:fill="auto"/>
            <w:vAlign w:val="center"/>
            <w:hideMark/>
          </w:tcPr>
          <w:p w14:paraId="4E70206B"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40</w:t>
            </w:r>
          </w:p>
        </w:tc>
        <w:tc>
          <w:tcPr>
            <w:tcW w:w="222" w:type="dxa"/>
            <w:vAlign w:val="center"/>
            <w:hideMark/>
          </w:tcPr>
          <w:p w14:paraId="3E988D0D"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0ADFFEF8" w14:textId="77777777" w:rsidTr="002E5C71">
        <w:trPr>
          <w:trHeight w:val="840"/>
        </w:trPr>
        <w:tc>
          <w:tcPr>
            <w:tcW w:w="1814" w:type="dxa"/>
            <w:tcBorders>
              <w:top w:val="nil"/>
              <w:left w:val="nil"/>
              <w:bottom w:val="nil"/>
              <w:right w:val="nil"/>
            </w:tcBorders>
            <w:shd w:val="clear" w:color="auto" w:fill="auto"/>
            <w:vAlign w:val="center"/>
            <w:hideMark/>
          </w:tcPr>
          <w:p w14:paraId="19D2A0B0"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Feelings of trust &amp; Acceptance of diversity</w:t>
            </w:r>
          </w:p>
        </w:tc>
        <w:tc>
          <w:tcPr>
            <w:tcW w:w="1957" w:type="dxa"/>
            <w:tcBorders>
              <w:top w:val="nil"/>
              <w:left w:val="nil"/>
              <w:bottom w:val="nil"/>
              <w:right w:val="nil"/>
            </w:tcBorders>
            <w:shd w:val="clear" w:color="auto" w:fill="auto"/>
            <w:vAlign w:val="center"/>
            <w:hideMark/>
          </w:tcPr>
          <w:p w14:paraId="406B3536"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0.239</w:t>
            </w:r>
          </w:p>
        </w:tc>
        <w:tc>
          <w:tcPr>
            <w:tcW w:w="1579" w:type="dxa"/>
            <w:tcBorders>
              <w:top w:val="nil"/>
              <w:left w:val="nil"/>
              <w:bottom w:val="nil"/>
              <w:right w:val="nil"/>
            </w:tcBorders>
            <w:shd w:val="clear" w:color="auto" w:fill="auto"/>
            <w:vAlign w:val="center"/>
            <w:hideMark/>
          </w:tcPr>
          <w:p w14:paraId="6BE53813"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5</w:t>
            </w:r>
          </w:p>
        </w:tc>
        <w:tc>
          <w:tcPr>
            <w:tcW w:w="1788" w:type="dxa"/>
            <w:tcBorders>
              <w:top w:val="nil"/>
              <w:left w:val="nil"/>
              <w:bottom w:val="nil"/>
              <w:right w:val="nil"/>
            </w:tcBorders>
            <w:shd w:val="clear" w:color="auto" w:fill="auto"/>
            <w:vAlign w:val="center"/>
            <w:hideMark/>
          </w:tcPr>
          <w:p w14:paraId="53A51A7A"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43</w:t>
            </w:r>
          </w:p>
        </w:tc>
        <w:tc>
          <w:tcPr>
            <w:tcW w:w="222" w:type="dxa"/>
            <w:vAlign w:val="center"/>
            <w:hideMark/>
          </w:tcPr>
          <w:p w14:paraId="7FF5919C"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4F390462" w14:textId="77777777" w:rsidTr="002E5C71">
        <w:trPr>
          <w:trHeight w:val="290"/>
        </w:trPr>
        <w:tc>
          <w:tcPr>
            <w:tcW w:w="1814" w:type="dxa"/>
            <w:tcBorders>
              <w:top w:val="nil"/>
              <w:left w:val="nil"/>
              <w:bottom w:val="nil"/>
              <w:right w:val="nil"/>
            </w:tcBorders>
            <w:shd w:val="clear" w:color="auto" w:fill="auto"/>
            <w:vAlign w:val="center"/>
            <w:hideMark/>
          </w:tcPr>
          <w:p w14:paraId="4E4515C8"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political security</w:t>
            </w:r>
          </w:p>
        </w:tc>
        <w:tc>
          <w:tcPr>
            <w:tcW w:w="1957" w:type="dxa"/>
            <w:tcBorders>
              <w:top w:val="nil"/>
              <w:left w:val="nil"/>
              <w:bottom w:val="nil"/>
              <w:right w:val="nil"/>
            </w:tcBorders>
            <w:shd w:val="clear" w:color="auto" w:fill="auto"/>
            <w:vAlign w:val="center"/>
            <w:hideMark/>
          </w:tcPr>
          <w:p w14:paraId="4B618182"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-0.577</w:t>
            </w:r>
          </w:p>
        </w:tc>
        <w:tc>
          <w:tcPr>
            <w:tcW w:w="1579" w:type="dxa"/>
            <w:tcBorders>
              <w:top w:val="nil"/>
              <w:left w:val="nil"/>
              <w:bottom w:val="nil"/>
              <w:right w:val="nil"/>
            </w:tcBorders>
            <w:shd w:val="clear" w:color="auto" w:fill="auto"/>
            <w:vAlign w:val="center"/>
            <w:hideMark/>
          </w:tcPr>
          <w:p w14:paraId="76B2289F"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w:t>
            </w:r>
          </w:p>
        </w:tc>
        <w:tc>
          <w:tcPr>
            <w:tcW w:w="1788" w:type="dxa"/>
            <w:tcBorders>
              <w:top w:val="nil"/>
              <w:left w:val="nil"/>
              <w:bottom w:val="nil"/>
              <w:right w:val="nil"/>
            </w:tcBorders>
            <w:shd w:val="clear" w:color="auto" w:fill="auto"/>
            <w:vAlign w:val="center"/>
            <w:hideMark/>
          </w:tcPr>
          <w:p w14:paraId="2BCD5825"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w:t>
            </w:r>
          </w:p>
        </w:tc>
        <w:tc>
          <w:tcPr>
            <w:tcW w:w="222" w:type="dxa"/>
            <w:vAlign w:val="center"/>
            <w:hideMark/>
          </w:tcPr>
          <w:p w14:paraId="7FBB4AFF"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r w:rsidR="008A0CED" w:rsidRPr="008E28E8" w14:paraId="57F3C0E3" w14:textId="77777777" w:rsidTr="002E5C71">
        <w:trPr>
          <w:trHeight w:val="560"/>
        </w:trPr>
        <w:tc>
          <w:tcPr>
            <w:tcW w:w="1814" w:type="dxa"/>
            <w:tcBorders>
              <w:top w:val="nil"/>
              <w:left w:val="nil"/>
              <w:bottom w:val="single" w:sz="4" w:space="0" w:color="auto"/>
              <w:right w:val="nil"/>
            </w:tcBorders>
            <w:shd w:val="clear" w:color="auto" w:fill="auto"/>
            <w:vAlign w:val="center"/>
            <w:hideMark/>
          </w:tcPr>
          <w:p w14:paraId="596A053B" w14:textId="77777777" w:rsidR="008A0CED" w:rsidRPr="008E28E8" w:rsidRDefault="008A0CED" w:rsidP="002E5C71">
            <w:pPr>
              <w:spacing w:line="240" w:lineRule="auto"/>
              <w:rPr>
                <w:rFonts w:eastAsia="Times New Roman"/>
                <w:color w:val="000000"/>
                <w:lang w:val="en-IN"/>
              </w:rPr>
            </w:pPr>
            <w:r w:rsidRPr="008E28E8">
              <w:rPr>
                <w:rFonts w:eastAsia="Times New Roman"/>
                <w:color w:val="000000"/>
                <w:lang w:val="en-IN"/>
              </w:rPr>
              <w:t>educational security </w:t>
            </w:r>
          </w:p>
        </w:tc>
        <w:tc>
          <w:tcPr>
            <w:tcW w:w="1957" w:type="dxa"/>
            <w:tcBorders>
              <w:top w:val="nil"/>
              <w:left w:val="nil"/>
              <w:bottom w:val="single" w:sz="4" w:space="0" w:color="auto"/>
              <w:right w:val="nil"/>
            </w:tcBorders>
            <w:shd w:val="clear" w:color="auto" w:fill="auto"/>
            <w:vAlign w:val="center"/>
            <w:hideMark/>
          </w:tcPr>
          <w:p w14:paraId="53579C46"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-0.027</w:t>
            </w:r>
          </w:p>
        </w:tc>
        <w:tc>
          <w:tcPr>
            <w:tcW w:w="1579" w:type="dxa"/>
            <w:tcBorders>
              <w:top w:val="nil"/>
              <w:left w:val="nil"/>
              <w:bottom w:val="single" w:sz="4" w:space="0" w:color="auto"/>
              <w:right w:val="nil"/>
            </w:tcBorders>
            <w:shd w:val="clear" w:color="auto" w:fill="auto"/>
            <w:vAlign w:val="center"/>
            <w:hideMark/>
          </w:tcPr>
          <w:p w14:paraId="6312FC39"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1</w:t>
            </w:r>
          </w:p>
        </w:tc>
        <w:tc>
          <w:tcPr>
            <w:tcW w:w="1788" w:type="dxa"/>
            <w:tcBorders>
              <w:top w:val="nil"/>
              <w:left w:val="nil"/>
              <w:bottom w:val="single" w:sz="4" w:space="0" w:color="auto"/>
              <w:right w:val="nil"/>
            </w:tcBorders>
            <w:shd w:val="clear" w:color="auto" w:fill="auto"/>
            <w:vAlign w:val="center"/>
            <w:hideMark/>
          </w:tcPr>
          <w:p w14:paraId="6A630BE5" w14:textId="77777777" w:rsidR="008A0CED" w:rsidRPr="008E28E8" w:rsidRDefault="008A0CED" w:rsidP="002E5C71">
            <w:pPr>
              <w:spacing w:line="240" w:lineRule="auto"/>
              <w:jc w:val="right"/>
              <w:rPr>
                <w:rFonts w:eastAsia="Times New Roman"/>
                <w:color w:val="000000"/>
                <w:lang w:val="en-IN"/>
              </w:rPr>
            </w:pPr>
            <w:r w:rsidRPr="008E28E8">
              <w:rPr>
                <w:rFonts w:eastAsia="Times New Roman"/>
                <w:color w:val="000000"/>
                <w:lang w:val="en-IN"/>
              </w:rPr>
              <w:t>2</w:t>
            </w:r>
          </w:p>
        </w:tc>
        <w:tc>
          <w:tcPr>
            <w:tcW w:w="222" w:type="dxa"/>
            <w:vAlign w:val="center"/>
            <w:hideMark/>
          </w:tcPr>
          <w:p w14:paraId="74CC2D53" w14:textId="77777777" w:rsidR="008A0CED" w:rsidRPr="008E28E8" w:rsidRDefault="008A0CED" w:rsidP="002E5C71">
            <w:pPr>
              <w:spacing w:line="240" w:lineRule="auto"/>
              <w:rPr>
                <w:rFonts w:ascii="Times New Roman" w:eastAsia="Times New Roman" w:hAnsi="Times New Roman" w:cs="Times New Roman"/>
                <w:sz w:val="20"/>
                <w:szCs w:val="20"/>
                <w:lang w:val="en-IN"/>
              </w:rPr>
            </w:pPr>
          </w:p>
        </w:tc>
      </w:tr>
    </w:tbl>
    <w:p w14:paraId="3D3BA87F" w14:textId="77777777" w:rsidR="008A0CED" w:rsidRDefault="008A0CED" w:rsidP="008A0CED">
      <w:pPr>
        <w:spacing w:afterLines="80" w:after="192" w:line="312" w:lineRule="auto"/>
      </w:pPr>
      <w:r w:rsidRPr="00CA20BB">
        <w:rPr>
          <w:lang w:val="en-IN"/>
        </w:rPr>
        <w:br/>
      </w:r>
      <w:r w:rsidRPr="00CA20BB">
        <w:rPr>
          <w:lang w:val="en-IN"/>
        </w:rPr>
        <w:br/>
      </w:r>
    </w:p>
    <w:p w14:paraId="34BBD66C" w14:textId="77777777" w:rsidR="008A0CED" w:rsidRDefault="008A0CED" w:rsidP="008A0CED">
      <w:pPr>
        <w:spacing w:afterLines="80" w:after="192" w:line="312" w:lineRule="auto"/>
      </w:pPr>
    </w:p>
    <w:p w14:paraId="016574E9" w14:textId="77777777" w:rsidR="0053227D" w:rsidRDefault="0053227D"/>
    <w:sectPr w:rsidR="00532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74"/>
    <w:rsid w:val="00421674"/>
    <w:rsid w:val="0053227D"/>
    <w:rsid w:val="0064249F"/>
    <w:rsid w:val="008A0CED"/>
    <w:rsid w:val="00A7670F"/>
    <w:rsid w:val="00A84B7C"/>
    <w:rsid w:val="00AC0D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FA97E"/>
  <w15:chartTrackingRefBased/>
  <w15:docId w15:val="{9ACF5608-91B2-4BB0-BF6D-3099DFAB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ED"/>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4216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4216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unhideWhenUsed/>
    <w:qFormat/>
    <w:rsid w:val="004216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421674"/>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421674"/>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421674"/>
    <w:pPr>
      <w:keepNext/>
      <w:keepLines/>
      <w:spacing w:before="40" w:line="259"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421674"/>
    <w:pPr>
      <w:keepNext/>
      <w:keepLines/>
      <w:spacing w:before="40" w:line="259"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421674"/>
    <w:pPr>
      <w:keepNext/>
      <w:keepLines/>
      <w:spacing w:line="259"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421674"/>
    <w:pPr>
      <w:keepNext/>
      <w:keepLines/>
      <w:spacing w:line="259"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1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674"/>
    <w:rPr>
      <w:rFonts w:eastAsiaTheme="majorEastAsia" w:cstheme="majorBidi"/>
      <w:color w:val="272727" w:themeColor="text1" w:themeTint="D8"/>
    </w:rPr>
  </w:style>
  <w:style w:type="paragraph" w:styleId="Title">
    <w:name w:val="Title"/>
    <w:basedOn w:val="Normal"/>
    <w:next w:val="Normal"/>
    <w:link w:val="TitleChar"/>
    <w:uiPriority w:val="10"/>
    <w:qFormat/>
    <w:rsid w:val="00421674"/>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421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6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421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674"/>
    <w:pPr>
      <w:spacing w:before="160" w:after="160" w:line="259"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421674"/>
    <w:rPr>
      <w:i/>
      <w:iCs/>
      <w:color w:val="404040" w:themeColor="text1" w:themeTint="BF"/>
    </w:rPr>
  </w:style>
  <w:style w:type="paragraph" w:styleId="ListParagraph">
    <w:name w:val="List Paragraph"/>
    <w:basedOn w:val="Normal"/>
    <w:uiPriority w:val="34"/>
    <w:qFormat/>
    <w:rsid w:val="00421674"/>
    <w:pPr>
      <w:spacing w:after="160" w:line="259"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421674"/>
    <w:rPr>
      <w:i/>
      <w:iCs/>
      <w:color w:val="2F5496" w:themeColor="accent1" w:themeShade="BF"/>
    </w:rPr>
  </w:style>
  <w:style w:type="paragraph" w:styleId="IntenseQuote">
    <w:name w:val="Intense Quote"/>
    <w:basedOn w:val="Normal"/>
    <w:next w:val="Normal"/>
    <w:link w:val="IntenseQuoteChar"/>
    <w:uiPriority w:val="30"/>
    <w:qFormat/>
    <w:rsid w:val="004216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421674"/>
    <w:rPr>
      <w:i/>
      <w:iCs/>
      <w:color w:val="2F5496" w:themeColor="accent1" w:themeShade="BF"/>
    </w:rPr>
  </w:style>
  <w:style w:type="character" w:styleId="IntenseReference">
    <w:name w:val="Intense Reference"/>
    <w:basedOn w:val="DefaultParagraphFont"/>
    <w:uiPriority w:val="32"/>
    <w:qFormat/>
    <w:rsid w:val="00421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3203</Words>
  <Characters>19895</Characters>
  <Application>Microsoft Office Word</Application>
  <DocSecurity>0</DocSecurity>
  <Lines>390</Lines>
  <Paragraphs>117</Paragraphs>
  <ScaleCrop>false</ScaleCrop>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Sahithya Novel</dc:creator>
  <cp:keywords/>
  <dc:description/>
  <cp:lastModifiedBy>Sahithya Novel</cp:lastModifiedBy>
  <cp:revision>2</cp:revision>
  <dcterms:created xsi:type="dcterms:W3CDTF">2025-04-04T10:42:00Z</dcterms:created>
  <dcterms:modified xsi:type="dcterms:W3CDTF">2025-04-04T10:43:00Z</dcterms:modified>
</cp:coreProperties>
</file>