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B0E6" w14:textId="77777777" w:rsidR="00675BB6" w:rsidRPr="008261EF" w:rsidRDefault="00675BB6" w:rsidP="00675BB6">
      <w:pPr>
        <w:pStyle w:val="Title"/>
        <w:outlineLvl w:val="0"/>
        <w:rPr>
          <w:b/>
          <w:bCs/>
          <w:sz w:val="44"/>
          <w:szCs w:val="44"/>
        </w:rPr>
      </w:pPr>
      <w:bookmarkStart w:id="0" w:name="_Toc193464418"/>
      <w:r w:rsidRPr="008261EF">
        <w:rPr>
          <w:b/>
          <w:bCs/>
          <w:sz w:val="44"/>
          <w:szCs w:val="44"/>
        </w:rPr>
        <w:t>Methodology</w:t>
      </w:r>
      <w:bookmarkEnd w:id="0"/>
      <w:r w:rsidRPr="008261EF">
        <w:rPr>
          <w:b/>
          <w:bCs/>
          <w:sz w:val="44"/>
          <w:szCs w:val="44"/>
        </w:rPr>
        <w:t xml:space="preserve"> </w:t>
      </w:r>
    </w:p>
    <w:p w14:paraId="7CE42930" w14:textId="77777777" w:rsidR="00675BB6" w:rsidRPr="00A42530" w:rsidRDefault="00675BB6" w:rsidP="00675BB6">
      <w:pPr>
        <w:spacing w:afterLines="80" w:after="192" w:line="312" w:lineRule="auto"/>
      </w:pPr>
      <w:r>
        <w:t>We have defined criteria for including and excluding studies, employing an intervention-outcome framework. In this extension project, we have combined certain intervention and outcome categories to develop a simplified evidence gap map (EGM), as detailed in Annexure 1. The current map has eligibility criteria based on the population, intervention, comparator, outcome, and study Design (PICOS) framework. While we provide a brief overview of these criteria here, comprehensive details are available in the published report.</w:t>
      </w:r>
    </w:p>
    <w:p w14:paraId="580D1B22" w14:textId="77777777" w:rsidR="00675BB6" w:rsidRPr="00A42530" w:rsidRDefault="00675BB6" w:rsidP="00675BB6">
      <w:pPr>
        <w:pStyle w:val="Heading3"/>
        <w:rPr>
          <w:b/>
          <w:sz w:val="24"/>
          <w:szCs w:val="24"/>
        </w:rPr>
      </w:pPr>
      <w:bookmarkStart w:id="1" w:name="_Toc193464419"/>
      <w:r w:rsidRPr="00A42530">
        <w:rPr>
          <w:b/>
          <w:sz w:val="24"/>
          <w:szCs w:val="24"/>
        </w:rPr>
        <w:t>Types of settings</w:t>
      </w:r>
      <w:bookmarkEnd w:id="1"/>
    </w:p>
    <w:p w14:paraId="09D6DB92" w14:textId="77777777" w:rsidR="00675BB6" w:rsidRPr="00A42530" w:rsidRDefault="00675BB6" w:rsidP="00675BB6">
      <w:pPr>
        <w:spacing w:afterLines="80" w:after="192" w:line="312" w:lineRule="auto"/>
      </w:pPr>
      <w:r w:rsidRPr="00A42530">
        <w:t xml:space="preserve">The included studies evaluating the effectiveness of the interventions in </w:t>
      </w:r>
      <w:r>
        <w:t>settings</w:t>
      </w:r>
      <w:r w:rsidRPr="00A42530">
        <w:t xml:space="preserve"> where </w:t>
      </w:r>
      <w:r>
        <w:t>there</w:t>
      </w:r>
      <w:r w:rsidRPr="00A42530">
        <w:t xml:space="preserve"> was ongoing violence (active), where the violence had abated but was seen as at risk of restarting (dormant); and where there were risks that violence on a larger scale would break out (latent).</w:t>
      </w:r>
    </w:p>
    <w:p w14:paraId="12B218F4" w14:textId="77777777" w:rsidR="00675BB6" w:rsidRPr="00A42530" w:rsidRDefault="00675BB6" w:rsidP="00675BB6">
      <w:pPr>
        <w:pStyle w:val="Heading3"/>
        <w:rPr>
          <w:b/>
          <w:color w:val="000000"/>
          <w:sz w:val="24"/>
          <w:szCs w:val="24"/>
        </w:rPr>
      </w:pPr>
      <w:bookmarkStart w:id="2" w:name="_Toc193464420"/>
      <w:r w:rsidRPr="00A42530">
        <w:rPr>
          <w:b/>
          <w:color w:val="000000"/>
          <w:sz w:val="24"/>
          <w:szCs w:val="24"/>
        </w:rPr>
        <w:t>Types of Populations</w:t>
      </w:r>
      <w:bookmarkEnd w:id="2"/>
      <w:r w:rsidRPr="00A42530">
        <w:rPr>
          <w:b/>
          <w:color w:val="000000"/>
          <w:sz w:val="24"/>
          <w:szCs w:val="24"/>
        </w:rPr>
        <w:t xml:space="preserve"> </w:t>
      </w:r>
    </w:p>
    <w:p w14:paraId="557402DC" w14:textId="77777777" w:rsidR="00675BB6" w:rsidRPr="00A42530" w:rsidRDefault="00675BB6" w:rsidP="00675BB6">
      <w:pPr>
        <w:spacing w:before="240" w:afterLines="80" w:after="192" w:line="312" w:lineRule="auto"/>
      </w:pPr>
      <w:r w:rsidRPr="00A42530">
        <w:t>Eligible populations were all those living in L&amp;MICs, we excluded studies of programmes and policies that predominantly affected or only reported effects for populations in high income countries (HICs). We included studies set in both fragile and non-fragile contexts, acknowledging that violent conflict and atrocities can have arisen in stable contexts.</w:t>
      </w:r>
    </w:p>
    <w:p w14:paraId="5E9E90EE" w14:textId="77777777" w:rsidR="00675BB6" w:rsidRPr="00A42530" w:rsidRDefault="00675BB6" w:rsidP="00675BB6">
      <w:pPr>
        <w:pStyle w:val="Heading3"/>
        <w:rPr>
          <w:b/>
          <w:color w:val="000000"/>
          <w:sz w:val="24"/>
          <w:szCs w:val="24"/>
        </w:rPr>
      </w:pPr>
      <w:bookmarkStart w:id="3" w:name="_Toc193464421"/>
      <w:r w:rsidRPr="00A42530">
        <w:rPr>
          <w:b/>
          <w:color w:val="000000"/>
          <w:sz w:val="24"/>
          <w:szCs w:val="24"/>
        </w:rPr>
        <w:t>Types of intervention strategies</w:t>
      </w:r>
      <w:bookmarkEnd w:id="3"/>
    </w:p>
    <w:p w14:paraId="042AE098" w14:textId="77777777" w:rsidR="00675BB6" w:rsidRPr="00A42530" w:rsidRDefault="00675BB6" w:rsidP="00675BB6">
      <w:pPr>
        <w:spacing w:before="240" w:afterLines="80" w:after="192" w:line="312" w:lineRule="auto"/>
      </w:pPr>
      <w:r w:rsidRPr="00A42530">
        <w:t>The Interventions were grouped into six categories (sub-categories): safe environments (e.g., policing, early warning systems); international diplomacy, law and accountability (e.g., support for peace processes &amp; negotiation, sanctions, aid conditionalities); conflict management and mediation at community level (e.g., intergroup dialogue); support to civil society (e.g., civil-society organisation (CSO) capacity building, countering disinformation in communication, digital and media); support to governance and justice institutions (e.g., support for elections); and economic foundations (e.g., job creation, in-kind and cash transfers).</w:t>
      </w:r>
    </w:p>
    <w:p w14:paraId="7BF6CA6F" w14:textId="77777777" w:rsidR="00675BB6" w:rsidRPr="00A42530" w:rsidRDefault="00675BB6" w:rsidP="00675BB6">
      <w:pPr>
        <w:pStyle w:val="Heading3"/>
        <w:keepNext w:val="0"/>
        <w:keepLines w:val="0"/>
        <w:spacing w:before="280" w:afterLines="80" w:after="192" w:line="312" w:lineRule="auto"/>
        <w:rPr>
          <w:b/>
          <w:color w:val="000000"/>
          <w:sz w:val="24"/>
          <w:szCs w:val="24"/>
        </w:rPr>
      </w:pPr>
      <w:bookmarkStart w:id="4" w:name="_xh7apqolvdbw" w:colFirst="0" w:colLast="0"/>
      <w:bookmarkStart w:id="5" w:name="_Toc193464422"/>
      <w:bookmarkEnd w:id="4"/>
      <w:r w:rsidRPr="00A42530">
        <w:rPr>
          <w:b/>
          <w:color w:val="000000"/>
          <w:sz w:val="24"/>
          <w:szCs w:val="24"/>
        </w:rPr>
        <w:t>Types of comparators</w:t>
      </w:r>
      <w:bookmarkEnd w:id="5"/>
    </w:p>
    <w:p w14:paraId="45C0EC66" w14:textId="77777777" w:rsidR="00675BB6" w:rsidRPr="00A42530" w:rsidRDefault="00675BB6" w:rsidP="00675BB6">
      <w:pPr>
        <w:spacing w:before="240" w:afterLines="80" w:after="192" w:line="312" w:lineRule="auto"/>
        <w:rPr>
          <w:vertAlign w:val="superscript"/>
        </w:rPr>
      </w:pPr>
      <w:r w:rsidRPr="00A42530">
        <w:t>Eligible comparators were other CAP intervention(s) or other intervention(s) (comparative effectiveness studies) or no intervention(s) (effectiveness studies). Comparators could be measured contemporaneously (e.g., controlled studies), historically (e.g., using before versus after approaches) or implicitly (as in the case of many small-n qualitative impact evaluation designs).</w:t>
      </w:r>
      <w:r w:rsidRPr="00A42530">
        <w:rPr>
          <w:vertAlign w:val="superscript"/>
        </w:rPr>
        <w:t>[2]</w:t>
      </w:r>
    </w:p>
    <w:p w14:paraId="1539EA70" w14:textId="77777777" w:rsidR="00675BB6" w:rsidRPr="00A42530" w:rsidRDefault="00675BB6" w:rsidP="00675BB6">
      <w:pPr>
        <w:pStyle w:val="Heading3"/>
        <w:keepNext w:val="0"/>
        <w:keepLines w:val="0"/>
        <w:spacing w:before="280" w:afterLines="80" w:after="192" w:line="312" w:lineRule="auto"/>
        <w:rPr>
          <w:b/>
          <w:color w:val="000000"/>
          <w:sz w:val="24"/>
          <w:szCs w:val="24"/>
        </w:rPr>
      </w:pPr>
      <w:bookmarkStart w:id="6" w:name="_txub6p98jkue" w:colFirst="0" w:colLast="0"/>
      <w:bookmarkStart w:id="7" w:name="_Toc193464423"/>
      <w:bookmarkEnd w:id="6"/>
      <w:r w:rsidRPr="00A42530">
        <w:rPr>
          <w:b/>
          <w:color w:val="000000"/>
          <w:sz w:val="24"/>
          <w:szCs w:val="24"/>
        </w:rPr>
        <w:t>Types of outcome measures</w:t>
      </w:r>
      <w:bookmarkEnd w:id="7"/>
    </w:p>
    <w:p w14:paraId="69E374F2" w14:textId="77777777" w:rsidR="00675BB6" w:rsidRPr="00A42530" w:rsidRDefault="00675BB6" w:rsidP="00675BB6">
      <w:pPr>
        <w:spacing w:before="240" w:afterLines="80" w:after="192" w:line="312" w:lineRule="auto"/>
      </w:pPr>
      <w:r w:rsidRPr="00A42530">
        <w:t xml:space="preserve">We grouped outcomes into two groups core (violence conflict and atrocities; social cohesion) or secondary (state and community governance; human security) outcomes. (Annexure </w:t>
      </w:r>
      <w:r>
        <w:t>1</w:t>
      </w:r>
      <w:r w:rsidRPr="00A42530">
        <w:t>)</w:t>
      </w:r>
    </w:p>
    <w:p w14:paraId="560A52D6" w14:textId="77777777" w:rsidR="00675BB6" w:rsidRPr="00A42530" w:rsidRDefault="00675BB6" w:rsidP="00675BB6">
      <w:pPr>
        <w:pStyle w:val="Heading3"/>
        <w:keepNext w:val="0"/>
        <w:keepLines w:val="0"/>
        <w:spacing w:before="280" w:afterLines="80" w:after="192" w:line="312" w:lineRule="auto"/>
        <w:rPr>
          <w:b/>
          <w:color w:val="000000"/>
          <w:sz w:val="24"/>
          <w:szCs w:val="24"/>
        </w:rPr>
      </w:pPr>
      <w:bookmarkStart w:id="8" w:name="_1fl99ljptayi" w:colFirst="0" w:colLast="0"/>
      <w:bookmarkStart w:id="9" w:name="_Toc193464424"/>
      <w:bookmarkEnd w:id="8"/>
      <w:r w:rsidRPr="00A42530">
        <w:rPr>
          <w:b/>
          <w:color w:val="000000"/>
          <w:sz w:val="24"/>
          <w:szCs w:val="24"/>
        </w:rPr>
        <w:lastRenderedPageBreak/>
        <w:t>Types of study designs</w:t>
      </w:r>
      <w:bookmarkEnd w:id="9"/>
    </w:p>
    <w:p w14:paraId="6518BD4C" w14:textId="77777777" w:rsidR="00675BB6" w:rsidRPr="00A42530" w:rsidRDefault="00675BB6" w:rsidP="00675BB6">
      <w:pPr>
        <w:spacing w:before="240" w:afterLines="80" w:after="192" w:line="312" w:lineRule="auto"/>
      </w:pPr>
      <w:r w:rsidRPr="00A42530">
        <w:t>The map includes completed and ongoing primary studies and evidence syntheses pertaining to the effectiveness of CP and AP interventions in L&amp;MICs. Eligible primary studies used quantitative, and qualitative designs, appropriate to the interventions being evaluated, to assess the effectiveness of the intervention(s). Impact evaluation designs use methods like randomised assignment of individuals or groups to intervention (randomised controlled trials, RCTs) or quasi-experimental designs (QEDs) such as encouragement design, discontinuity design, difference-in-differences, statistical matching, synthetic control and reflexive control (outcomes data collection among participants before versus after intervention only).</w:t>
      </w:r>
    </w:p>
    <w:p w14:paraId="0122F97C" w14:textId="77777777" w:rsidR="00675BB6" w:rsidRPr="00A42530" w:rsidRDefault="00675BB6" w:rsidP="00675BB6">
      <w:pPr>
        <w:spacing w:before="240" w:afterLines="80" w:after="192" w:line="312" w:lineRule="auto"/>
      </w:pPr>
      <w:r w:rsidRPr="00A42530">
        <w:t xml:space="preserve">We also included qualitative research with a study design that was able to identify causal relationships between interventions and outcomes. Studies using established theory-based qualitative methodologies to evaluate effectiveness were included, but we also incorporated case studies with theory-based designs. The studies including Realist Evaluation, General Elimination Methodology (GEM), Process Tracing and  Contribution Analysis. Group II approaches use participatory data collection methods, such as Most Significant Change (MSC), Success Case Method (SCM), Outcome Harvesting (OH) and Method for Impact Assessment of Programs and Projects (MAPP), which were included where they explicitly sought to identify a causal relationship between the intervention(s) and outcome(s) of interest. </w:t>
      </w:r>
    </w:p>
    <w:p w14:paraId="35C9BA9A" w14:textId="77777777" w:rsidR="00675BB6" w:rsidRPr="00A42530" w:rsidRDefault="00675BB6" w:rsidP="00675BB6">
      <w:pPr>
        <w:spacing w:before="240" w:afterLines="80" w:after="192" w:line="312" w:lineRule="auto"/>
      </w:pPr>
      <w:r w:rsidRPr="00A42530">
        <w:t>Systematic evidence syntheses, including systematic reviews and meta-analyses, systematic scoping reviews and rigorous literature reviews.</w:t>
      </w:r>
    </w:p>
    <w:p w14:paraId="17087466" w14:textId="77777777" w:rsidR="00675BB6" w:rsidRPr="008261EF" w:rsidRDefault="00675BB6" w:rsidP="00675BB6">
      <w:pPr>
        <w:pStyle w:val="Heading3"/>
        <w:rPr>
          <w:b/>
          <w:sz w:val="24"/>
          <w:szCs w:val="24"/>
        </w:rPr>
      </w:pPr>
      <w:bookmarkStart w:id="10" w:name="_3wze3ybrpz97" w:colFirst="0" w:colLast="0"/>
      <w:bookmarkStart w:id="11" w:name="_Toc193464425"/>
      <w:bookmarkEnd w:id="10"/>
      <w:r w:rsidRPr="008261EF">
        <w:rPr>
          <w:b/>
          <w:sz w:val="24"/>
          <w:szCs w:val="24"/>
        </w:rPr>
        <w:t>Sources of literature</w:t>
      </w:r>
      <w:bookmarkEnd w:id="11"/>
    </w:p>
    <w:p w14:paraId="3A6632D0" w14:textId="77777777" w:rsidR="00675BB6" w:rsidRPr="00A42530" w:rsidRDefault="00675BB6" w:rsidP="00675BB6">
      <w:pPr>
        <w:spacing w:before="240" w:afterLines="80" w:after="192" w:line="312" w:lineRule="auto"/>
      </w:pPr>
      <w:r w:rsidRPr="00A42530">
        <w:t>Electronic databases searched were multidisciplinary and also searched for eligible evaluations from donor evaluation repositories.</w:t>
      </w:r>
    </w:p>
    <w:p w14:paraId="7DB83385" w14:textId="77777777" w:rsidR="00675BB6" w:rsidRPr="00A42530" w:rsidRDefault="00675BB6" w:rsidP="00675BB6">
      <w:pPr>
        <w:spacing w:before="240" w:afterLines="80" w:after="192" w:line="312" w:lineRule="auto"/>
      </w:pPr>
      <w:r w:rsidRPr="00A42530">
        <w:t xml:space="preserve">We searched organisational repositories, registries of trials and evidence syntheses, online repositories of books, book chapters, theses and dissertations and hand search relevant journals </w:t>
      </w:r>
    </w:p>
    <w:p w14:paraId="1E9D6CFB" w14:textId="77777777" w:rsidR="00675BB6" w:rsidRPr="00A42530" w:rsidRDefault="00675BB6" w:rsidP="00675BB6">
      <w:pPr>
        <w:pStyle w:val="Heading2"/>
        <w:rPr>
          <w:b/>
          <w:sz w:val="24"/>
          <w:szCs w:val="24"/>
        </w:rPr>
      </w:pPr>
      <w:bookmarkStart w:id="12" w:name="_mudnbm5nmjis" w:colFirst="0" w:colLast="0"/>
      <w:bookmarkStart w:id="13" w:name="_Toc193464426"/>
      <w:bookmarkEnd w:id="12"/>
      <w:r w:rsidRPr="00A42530">
        <w:rPr>
          <w:b/>
          <w:sz w:val="24"/>
          <w:szCs w:val="24"/>
        </w:rPr>
        <w:t>Data collection, analysis and engagement</w:t>
      </w:r>
      <w:bookmarkEnd w:id="13"/>
    </w:p>
    <w:p w14:paraId="186A8FCF" w14:textId="77777777" w:rsidR="00675BB6" w:rsidRDefault="00675BB6" w:rsidP="00675BB6">
      <w:pPr>
        <w:pStyle w:val="Heading3"/>
        <w:rPr>
          <w:b/>
          <w:color w:val="000000"/>
          <w:sz w:val="24"/>
          <w:szCs w:val="24"/>
        </w:rPr>
      </w:pPr>
      <w:bookmarkStart w:id="14" w:name="_vmt0pq2vydlq" w:colFirst="0" w:colLast="0"/>
      <w:bookmarkStart w:id="15" w:name="_Toc193464427"/>
      <w:bookmarkEnd w:id="14"/>
      <w:r w:rsidRPr="00A42530">
        <w:rPr>
          <w:b/>
          <w:color w:val="000000"/>
          <w:sz w:val="24"/>
          <w:szCs w:val="24"/>
        </w:rPr>
        <w:t>Data collection</w:t>
      </w:r>
      <w:bookmarkEnd w:id="15"/>
    </w:p>
    <w:p w14:paraId="4B1BBBA2" w14:textId="77777777" w:rsidR="00675BB6" w:rsidRPr="008F2788" w:rsidRDefault="00675BB6" w:rsidP="00675BB6">
      <w:r>
        <w:t>In the extension project, the objective is to calculate effect sizes from each quantitative primary study, reported as standardized mean differences (SMDs) and odds ratios (ORs), and to compile these into a publicly available database.</w:t>
      </w:r>
    </w:p>
    <w:p w14:paraId="01FA21FA" w14:textId="77777777" w:rsidR="00675BB6" w:rsidRPr="00A42530" w:rsidRDefault="00675BB6" w:rsidP="00675BB6">
      <w:pPr>
        <w:pStyle w:val="Heading3"/>
        <w:rPr>
          <w:b/>
          <w:sz w:val="24"/>
          <w:szCs w:val="24"/>
        </w:rPr>
      </w:pPr>
      <w:bookmarkStart w:id="16" w:name="_7ylh1w9nc775" w:colFirst="0" w:colLast="0"/>
      <w:bookmarkStart w:id="17" w:name="_Toc193464428"/>
      <w:bookmarkEnd w:id="16"/>
      <w:r w:rsidRPr="00A42530">
        <w:rPr>
          <w:b/>
          <w:sz w:val="24"/>
          <w:szCs w:val="24"/>
        </w:rPr>
        <w:t>Approaches to calculating effect sizes</w:t>
      </w:r>
      <w:bookmarkEnd w:id="17"/>
    </w:p>
    <w:p w14:paraId="73F62B6A" w14:textId="77777777" w:rsidR="00675BB6" w:rsidRPr="00A42530" w:rsidRDefault="00675BB6" w:rsidP="00675BB6">
      <w:pPr>
        <w:spacing w:before="240" w:afterLines="80" w:after="192" w:line="312" w:lineRule="auto"/>
      </w:pPr>
      <w:r w:rsidRPr="00A42530">
        <w:t xml:space="preserve">The effect size is the standard measure of the change in outcome associated with the intervention in impact evaluations. There are a number of different measures of effect size </w:t>
      </w:r>
      <w:r w:rsidRPr="00A42530">
        <w:lastRenderedPageBreak/>
        <w:t>used in impact evaluations (e.g., standardised mean difference, odds ratio, correlation coefficient). Whatever measure is used, effect sizes should be: comparable across studies that use different measurement instruments, and primarily represent the magnitude of the change in the outcome. The effect size point estimate should not be influenced by other characteristics of the study such as the sample size (although the sample size is incorporated in the confidence interval associated with the effect size) (Lipsey and Wilson, 2001; Waddington et al., 2012; Higgins et al., 2021). Calculating the effect size requires extracting statistical data from the study such as sample size for treatment and control, standard deviation of the outcome for continuous variables, and so on.</w:t>
      </w:r>
    </w:p>
    <w:p w14:paraId="45EC792C" w14:textId="77777777" w:rsidR="00675BB6" w:rsidRPr="008F2788" w:rsidRDefault="00675BB6" w:rsidP="00675BB6">
      <w:pPr>
        <w:spacing w:before="240" w:afterLines="80" w:after="192" w:line="312" w:lineRule="auto"/>
      </w:pPr>
      <w:r w:rsidRPr="00A42530">
        <w:t xml:space="preserve">We use three types of effect size measurement, which are the most common forms of effect </w:t>
      </w:r>
      <w:r w:rsidRPr="008F2788">
        <w:t>size that we are likely to compute from studies contained in the CAP EGM:</w:t>
      </w:r>
    </w:p>
    <w:p w14:paraId="1BF15A8A" w14:textId="77777777" w:rsidR="00675BB6" w:rsidRPr="008F2788" w:rsidRDefault="00675BB6" w:rsidP="00675BB6">
      <w:pPr>
        <w:pStyle w:val="ListParagraph"/>
        <w:numPr>
          <w:ilvl w:val="0"/>
          <w:numId w:val="1"/>
        </w:numPr>
        <w:spacing w:before="240" w:afterLines="80" w:after="192" w:line="312" w:lineRule="auto"/>
      </w:pPr>
      <w:r w:rsidRPr="008F2788">
        <w:t>Standardised mean differences (</w:t>
      </w:r>
      <w:r w:rsidRPr="008F2788">
        <w:rPr>
          <w:i/>
        </w:rPr>
        <w:t>d</w:t>
      </w:r>
      <w:r w:rsidRPr="008F2788">
        <w:t>), calculated for continuous outcomes (e.g., number of days on probation).</w:t>
      </w:r>
    </w:p>
    <w:p w14:paraId="152B1389" w14:textId="77777777" w:rsidR="00675BB6" w:rsidRPr="008F2788" w:rsidRDefault="00675BB6" w:rsidP="00675BB6">
      <w:pPr>
        <w:pStyle w:val="ListParagraph"/>
        <w:numPr>
          <w:ilvl w:val="0"/>
          <w:numId w:val="1"/>
        </w:numPr>
        <w:spacing w:before="240" w:afterLines="80" w:after="192" w:line="312" w:lineRule="auto"/>
      </w:pPr>
      <w:r w:rsidRPr="008F2788">
        <w:t>Odds ratios (OR), calculated for dichotomous outcome variables (e.g., arrested versus not arrested).</w:t>
      </w:r>
    </w:p>
    <w:p w14:paraId="30993979" w14:textId="77777777" w:rsidR="00675BB6" w:rsidRDefault="00675BB6" w:rsidP="00675BB6">
      <w:pPr>
        <w:pStyle w:val="ListParagraph"/>
        <w:numPr>
          <w:ilvl w:val="0"/>
          <w:numId w:val="1"/>
        </w:numPr>
        <w:spacing w:before="240" w:afterLines="80" w:after="192" w:line="312" w:lineRule="auto"/>
      </w:pPr>
      <w:r w:rsidRPr="008F2788">
        <w:t>Correlation coefficient (</w:t>
      </w:r>
      <w:r w:rsidRPr="008F2788">
        <w:rPr>
          <w:i/>
        </w:rPr>
        <w:t>r</w:t>
      </w:r>
      <w:r w:rsidRPr="008F2788">
        <w:t xml:space="preserve">), calculated for continuous treatment variables (e.g., dose-response studies). </w:t>
      </w:r>
    </w:p>
    <w:p w14:paraId="013EB479" w14:textId="77777777" w:rsidR="00675BB6" w:rsidRPr="006D2DBC" w:rsidRDefault="00675BB6" w:rsidP="00675BB6">
      <w:pPr>
        <w:spacing w:before="240" w:afterLines="80" w:after="192" w:line="312" w:lineRule="auto"/>
        <w:rPr>
          <w:b/>
          <w:bCs/>
        </w:rPr>
      </w:pPr>
      <w:r w:rsidRPr="006D2DBC">
        <w:rPr>
          <w:b/>
          <w:bCs/>
        </w:rPr>
        <w:t xml:space="preserve">Effect size ranges </w:t>
      </w: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4773"/>
      </w:tblGrid>
      <w:tr w:rsidR="00675BB6" w:rsidRPr="006D2DBC" w14:paraId="18423DB1" w14:textId="77777777" w:rsidTr="00AD2763">
        <w:trPr>
          <w:trHeight w:val="203"/>
        </w:trPr>
        <w:tc>
          <w:tcPr>
            <w:tcW w:w="8249" w:type="dxa"/>
            <w:gridSpan w:val="2"/>
            <w:shd w:val="clear" w:color="auto" w:fill="auto"/>
            <w:noWrap/>
            <w:vAlign w:val="bottom"/>
            <w:hideMark/>
          </w:tcPr>
          <w:p w14:paraId="5D9E2D71" w14:textId="77777777" w:rsidR="00675BB6" w:rsidRPr="006D2DBC" w:rsidRDefault="00675BB6" w:rsidP="00AD2763">
            <w:pPr>
              <w:spacing w:line="312" w:lineRule="auto"/>
            </w:pPr>
            <w:r>
              <w:t xml:space="preserve">Table 1 : </w:t>
            </w:r>
            <w:r w:rsidRPr="006D2DBC">
              <w:t>Effect size ranges for conflict and violence outcomes</w:t>
            </w:r>
          </w:p>
        </w:tc>
      </w:tr>
      <w:tr w:rsidR="00675BB6" w:rsidRPr="006D2DBC" w14:paraId="488B898D" w14:textId="77777777" w:rsidTr="00AD2763">
        <w:trPr>
          <w:trHeight w:val="203"/>
        </w:trPr>
        <w:tc>
          <w:tcPr>
            <w:tcW w:w="3476" w:type="dxa"/>
            <w:shd w:val="clear" w:color="auto" w:fill="auto"/>
            <w:noWrap/>
            <w:vAlign w:val="bottom"/>
            <w:hideMark/>
          </w:tcPr>
          <w:p w14:paraId="404574FC" w14:textId="77777777" w:rsidR="00675BB6" w:rsidRPr="006D2DBC" w:rsidRDefault="00675BB6" w:rsidP="00AD2763">
            <w:pPr>
              <w:spacing w:line="312" w:lineRule="auto"/>
            </w:pPr>
            <w:r w:rsidRPr="006D2DBC">
              <w:t>&lt;0.0.01</w:t>
            </w:r>
          </w:p>
        </w:tc>
        <w:tc>
          <w:tcPr>
            <w:tcW w:w="4772" w:type="dxa"/>
            <w:shd w:val="clear" w:color="auto" w:fill="auto"/>
            <w:noWrap/>
            <w:vAlign w:val="bottom"/>
            <w:hideMark/>
          </w:tcPr>
          <w:p w14:paraId="43A5BE8A" w14:textId="77777777" w:rsidR="00675BB6" w:rsidRPr="006D2DBC" w:rsidRDefault="00675BB6" w:rsidP="00AD2763">
            <w:pPr>
              <w:spacing w:line="312" w:lineRule="auto"/>
            </w:pPr>
            <w:r w:rsidRPr="006D2DBC">
              <w:t>Adverse effect</w:t>
            </w:r>
          </w:p>
        </w:tc>
      </w:tr>
      <w:tr w:rsidR="00675BB6" w:rsidRPr="006D2DBC" w14:paraId="35760D80" w14:textId="77777777" w:rsidTr="00AD2763">
        <w:trPr>
          <w:trHeight w:val="203"/>
        </w:trPr>
        <w:tc>
          <w:tcPr>
            <w:tcW w:w="3476" w:type="dxa"/>
            <w:shd w:val="clear" w:color="auto" w:fill="auto"/>
            <w:noWrap/>
            <w:vAlign w:val="bottom"/>
            <w:hideMark/>
          </w:tcPr>
          <w:p w14:paraId="2C28C2C3" w14:textId="77777777" w:rsidR="00675BB6" w:rsidRPr="006D2DBC" w:rsidRDefault="00675BB6" w:rsidP="00AD2763">
            <w:pPr>
              <w:spacing w:line="312" w:lineRule="auto"/>
            </w:pPr>
            <w:r w:rsidRPr="006D2DBC">
              <w:t>-0.01 - 0.01</w:t>
            </w:r>
          </w:p>
        </w:tc>
        <w:tc>
          <w:tcPr>
            <w:tcW w:w="4772" w:type="dxa"/>
            <w:shd w:val="clear" w:color="auto" w:fill="auto"/>
            <w:noWrap/>
            <w:vAlign w:val="bottom"/>
            <w:hideMark/>
          </w:tcPr>
          <w:p w14:paraId="32C472D4" w14:textId="77777777" w:rsidR="00675BB6" w:rsidRPr="006D2DBC" w:rsidRDefault="00675BB6" w:rsidP="00AD2763">
            <w:pPr>
              <w:spacing w:line="312" w:lineRule="auto"/>
            </w:pPr>
            <w:r w:rsidRPr="006D2DBC">
              <w:t>No effect</w:t>
            </w:r>
          </w:p>
        </w:tc>
      </w:tr>
      <w:tr w:rsidR="00675BB6" w:rsidRPr="006D2DBC" w14:paraId="7562EC72" w14:textId="77777777" w:rsidTr="00AD2763">
        <w:trPr>
          <w:trHeight w:val="203"/>
        </w:trPr>
        <w:tc>
          <w:tcPr>
            <w:tcW w:w="3476" w:type="dxa"/>
            <w:shd w:val="clear" w:color="auto" w:fill="auto"/>
            <w:noWrap/>
            <w:vAlign w:val="bottom"/>
            <w:hideMark/>
          </w:tcPr>
          <w:p w14:paraId="0CF0C337" w14:textId="77777777" w:rsidR="00675BB6" w:rsidRPr="006D2DBC" w:rsidRDefault="00675BB6" w:rsidP="00AD2763">
            <w:pPr>
              <w:spacing w:line="312" w:lineRule="auto"/>
            </w:pPr>
            <w:r w:rsidRPr="006D2DBC">
              <w:t>0.01-0.1</w:t>
            </w:r>
          </w:p>
        </w:tc>
        <w:tc>
          <w:tcPr>
            <w:tcW w:w="4772" w:type="dxa"/>
            <w:shd w:val="clear" w:color="auto" w:fill="auto"/>
            <w:noWrap/>
            <w:vAlign w:val="bottom"/>
            <w:hideMark/>
          </w:tcPr>
          <w:p w14:paraId="0B7DD50C" w14:textId="77777777" w:rsidR="00675BB6" w:rsidRPr="006D2DBC" w:rsidRDefault="00675BB6" w:rsidP="00AD2763">
            <w:pPr>
              <w:spacing w:line="312" w:lineRule="auto"/>
            </w:pPr>
            <w:r w:rsidRPr="006D2DBC">
              <w:t>Small effect</w:t>
            </w:r>
          </w:p>
        </w:tc>
      </w:tr>
      <w:tr w:rsidR="00675BB6" w:rsidRPr="006D2DBC" w14:paraId="385C3F28" w14:textId="77777777" w:rsidTr="00AD2763">
        <w:trPr>
          <w:trHeight w:val="203"/>
        </w:trPr>
        <w:tc>
          <w:tcPr>
            <w:tcW w:w="3476" w:type="dxa"/>
            <w:shd w:val="clear" w:color="auto" w:fill="auto"/>
            <w:noWrap/>
            <w:vAlign w:val="bottom"/>
            <w:hideMark/>
          </w:tcPr>
          <w:p w14:paraId="6F15CF5E" w14:textId="77777777" w:rsidR="00675BB6" w:rsidRPr="006D2DBC" w:rsidRDefault="00675BB6" w:rsidP="00AD2763">
            <w:pPr>
              <w:spacing w:line="312" w:lineRule="auto"/>
            </w:pPr>
            <w:r w:rsidRPr="006D2DBC">
              <w:t>0.1 - 0.2</w:t>
            </w:r>
          </w:p>
        </w:tc>
        <w:tc>
          <w:tcPr>
            <w:tcW w:w="4772" w:type="dxa"/>
            <w:shd w:val="clear" w:color="auto" w:fill="auto"/>
            <w:noWrap/>
            <w:vAlign w:val="bottom"/>
            <w:hideMark/>
          </w:tcPr>
          <w:p w14:paraId="32C13007" w14:textId="77777777" w:rsidR="00675BB6" w:rsidRPr="006D2DBC" w:rsidRDefault="00675BB6" w:rsidP="00AD2763">
            <w:pPr>
              <w:spacing w:line="312" w:lineRule="auto"/>
            </w:pPr>
            <w:r w:rsidRPr="006D2DBC">
              <w:t>Moderate effect</w:t>
            </w:r>
          </w:p>
        </w:tc>
      </w:tr>
      <w:tr w:rsidR="00675BB6" w:rsidRPr="006D2DBC" w14:paraId="5FD45CA8" w14:textId="77777777" w:rsidTr="00AD2763">
        <w:trPr>
          <w:trHeight w:val="203"/>
        </w:trPr>
        <w:tc>
          <w:tcPr>
            <w:tcW w:w="3476" w:type="dxa"/>
            <w:shd w:val="clear" w:color="auto" w:fill="auto"/>
            <w:noWrap/>
            <w:vAlign w:val="bottom"/>
            <w:hideMark/>
          </w:tcPr>
          <w:p w14:paraId="45EFA75D" w14:textId="77777777" w:rsidR="00675BB6" w:rsidRPr="006D2DBC" w:rsidRDefault="00675BB6" w:rsidP="00AD2763">
            <w:pPr>
              <w:spacing w:line="312" w:lineRule="auto"/>
            </w:pPr>
            <w:r w:rsidRPr="006D2DBC">
              <w:t>Above 0.2</w:t>
            </w:r>
          </w:p>
        </w:tc>
        <w:tc>
          <w:tcPr>
            <w:tcW w:w="4772" w:type="dxa"/>
            <w:shd w:val="clear" w:color="auto" w:fill="auto"/>
            <w:noWrap/>
            <w:vAlign w:val="bottom"/>
            <w:hideMark/>
          </w:tcPr>
          <w:p w14:paraId="15F47FB7" w14:textId="77777777" w:rsidR="00675BB6" w:rsidRPr="006D2DBC" w:rsidRDefault="00675BB6" w:rsidP="00AD2763">
            <w:pPr>
              <w:spacing w:line="312" w:lineRule="auto"/>
            </w:pPr>
            <w:r w:rsidRPr="006D2DBC">
              <w:t>Large effect</w:t>
            </w:r>
          </w:p>
        </w:tc>
      </w:tr>
    </w:tbl>
    <w:p w14:paraId="70F37650" w14:textId="77777777" w:rsidR="00675BB6" w:rsidRPr="008F2788" w:rsidRDefault="00675BB6" w:rsidP="00675BB6">
      <w:pPr>
        <w:spacing w:before="240" w:afterLines="80" w:after="192" w:line="312" w:lineRule="auto"/>
      </w:pPr>
    </w:p>
    <w:p w14:paraId="470EE0BC" w14:textId="77777777" w:rsidR="00675BB6" w:rsidRPr="00A42530" w:rsidRDefault="00675BB6" w:rsidP="00675BB6">
      <w:pPr>
        <w:pStyle w:val="Heading3"/>
        <w:rPr>
          <w:b/>
          <w:color w:val="000000"/>
          <w:sz w:val="24"/>
          <w:szCs w:val="24"/>
        </w:rPr>
      </w:pPr>
      <w:bookmarkStart w:id="18" w:name="_vp15syvrv6oi" w:colFirst="0" w:colLast="0"/>
      <w:bookmarkStart w:id="19" w:name="_Toc193464429"/>
      <w:bookmarkEnd w:id="18"/>
      <w:r w:rsidRPr="00A42530">
        <w:rPr>
          <w:b/>
          <w:color w:val="000000"/>
          <w:sz w:val="24"/>
          <w:szCs w:val="24"/>
        </w:rPr>
        <w:t>Tools for assessing confidence in included reviews</w:t>
      </w:r>
      <w:r>
        <w:rPr>
          <w:b/>
          <w:color w:val="000000"/>
          <w:sz w:val="24"/>
          <w:szCs w:val="24"/>
        </w:rPr>
        <w:t xml:space="preserve"> and cells</w:t>
      </w:r>
      <w:bookmarkEnd w:id="19"/>
      <w:r>
        <w:rPr>
          <w:b/>
          <w:color w:val="000000"/>
          <w:sz w:val="24"/>
          <w:szCs w:val="24"/>
        </w:rPr>
        <w:t xml:space="preserve"> </w:t>
      </w:r>
    </w:p>
    <w:p w14:paraId="20D067F0" w14:textId="77777777" w:rsidR="00675BB6" w:rsidRPr="00A42530" w:rsidRDefault="00675BB6" w:rsidP="00675BB6">
      <w:pPr>
        <w:spacing w:before="240" w:afterLines="80" w:after="192" w:line="312" w:lineRule="auto"/>
      </w:pPr>
      <w:r w:rsidRPr="00A42530">
        <w:t xml:space="preserve">In previous EGM, the study </w:t>
      </w:r>
      <w:r>
        <w:t>has assessed</w:t>
      </w:r>
      <w:r w:rsidRPr="00A42530">
        <w:t xml:space="preserve"> the confidence in the evidence, using appropriate assessment tools to evaluate primary studies – including both large-n (RCTs and QEDs) and small-n designs using relevant approaches (e.g., theory-based case studies and contribution analyses) – and existing systematic reviews and other evidence synthesis studies. The confidence in evidence syntheses was assessed using A Measurement Tool to Assess Systematic Reviews (AMSTAR2) (Shea et al., 2017). Large-n quantitative studies were assessed using an approach developed by the Campbell Secretariat for use with EGMs incorporating elements of conduct and reporting including the type of study design, the description of the intervention(s) and outcome(s), the sample size, attrition, quality of measurement, and the clarity of evaluation question. Small-n qualitative studies were assessed using an approach developed by Sharma Waddington et al. (2023) incorporating </w:t>
      </w:r>
      <w:r w:rsidRPr="00A42530">
        <w:lastRenderedPageBreak/>
        <w:t>the type of study design, reference to theory of change,  clear description of data collection and analysis, sample selection, triangulation and methods to guard against bias.</w:t>
      </w:r>
    </w:p>
    <w:p w14:paraId="76301B48" w14:textId="77777777" w:rsidR="00675BB6" w:rsidRPr="00A42530" w:rsidRDefault="00675BB6" w:rsidP="00675BB6">
      <w:pPr>
        <w:spacing w:before="240" w:afterLines="80" w:after="192" w:line="312" w:lineRule="auto"/>
      </w:pPr>
      <w:r w:rsidRPr="00A42530">
        <w:t xml:space="preserve">The </w:t>
      </w:r>
      <w:r w:rsidRPr="008F2788">
        <w:t>cell-wise confidence assessment</w:t>
      </w:r>
      <w:r w:rsidRPr="00A42530">
        <w:t xml:space="preserve"> depends on the type of evidence used for the summary (type of study), critical appraisal of included studies and consistency.  To assess we use the ‘mark down’ principle. The first two criteria establish the rating. The rating may be marked down based on the second two criteria.</w:t>
      </w:r>
    </w:p>
    <w:tbl>
      <w:tblPr>
        <w:tblW w:w="9264" w:type="dxa"/>
        <w:tblBorders>
          <w:top w:val="nil"/>
          <w:left w:val="nil"/>
          <w:bottom w:val="nil"/>
          <w:right w:val="nil"/>
          <w:insideH w:val="nil"/>
          <w:insideV w:val="nil"/>
        </w:tblBorders>
        <w:tblLayout w:type="fixed"/>
        <w:tblLook w:val="0600" w:firstRow="0" w:lastRow="0" w:firstColumn="0" w:lastColumn="0" w:noHBand="1" w:noVBand="1"/>
      </w:tblPr>
      <w:tblGrid>
        <w:gridCol w:w="1634"/>
        <w:gridCol w:w="1564"/>
        <w:gridCol w:w="6066"/>
      </w:tblGrid>
      <w:tr w:rsidR="00675BB6" w:rsidRPr="00A42530" w14:paraId="6C0B1739" w14:textId="77777777" w:rsidTr="00AD2763">
        <w:trPr>
          <w:trHeight w:val="285"/>
        </w:trPr>
        <w:tc>
          <w:tcPr>
            <w:tcW w:w="9264" w:type="dxa"/>
            <w:gridSpan w:val="3"/>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bottom"/>
          </w:tcPr>
          <w:p w14:paraId="2E9382BB" w14:textId="77777777" w:rsidR="00675BB6" w:rsidRPr="00A42530" w:rsidRDefault="00675BB6" w:rsidP="00AD2763">
            <w:pPr>
              <w:spacing w:line="240" w:lineRule="auto"/>
            </w:pPr>
            <w:r>
              <w:t>Table 2- Confidence Rating</w:t>
            </w:r>
          </w:p>
        </w:tc>
      </w:tr>
      <w:tr w:rsidR="00675BB6" w:rsidRPr="00A42530" w14:paraId="17267444"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0086D701" w14:textId="77777777" w:rsidR="00675BB6" w:rsidRPr="00A42530" w:rsidRDefault="00675BB6" w:rsidP="00AD2763">
            <w:pPr>
              <w:spacing w:line="240" w:lineRule="auto"/>
            </w:pPr>
            <w:r w:rsidRPr="00A42530">
              <w:t>Systematic review</w:t>
            </w: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FF2E70D" w14:textId="77777777" w:rsidR="00675BB6" w:rsidRPr="00A42530" w:rsidRDefault="00675BB6" w:rsidP="00AD2763">
            <w:pPr>
              <w:spacing w:line="240" w:lineRule="auto"/>
            </w:pPr>
            <w:r w:rsidRPr="00A42530">
              <w:t>One review</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496C593" w14:textId="77777777" w:rsidR="00675BB6" w:rsidRPr="00A42530" w:rsidRDefault="00675BB6" w:rsidP="00AD2763">
            <w:pPr>
              <w:spacing w:line="240" w:lineRule="auto"/>
            </w:pPr>
            <w:r w:rsidRPr="00A42530">
              <w:t>Same rating as systematic review</w:t>
            </w:r>
          </w:p>
        </w:tc>
      </w:tr>
      <w:tr w:rsidR="00675BB6" w:rsidRPr="00A42530" w14:paraId="68653C5A"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394722B4"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90B3099" w14:textId="77777777" w:rsidR="00675BB6" w:rsidRPr="00A42530" w:rsidRDefault="00675BB6" w:rsidP="00AD2763">
            <w:pPr>
              <w:spacing w:line="240" w:lineRule="auto"/>
            </w:pPr>
            <w:r w:rsidRPr="00A42530">
              <w:t>More than one review</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D545C49" w14:textId="77777777" w:rsidR="00675BB6" w:rsidRPr="00A42530" w:rsidRDefault="00675BB6" w:rsidP="00AD2763">
            <w:pPr>
              <w:spacing w:line="240" w:lineRule="auto"/>
            </w:pPr>
            <w:r w:rsidRPr="00A42530">
              <w:t>All reviews have same rating: use that</w:t>
            </w:r>
          </w:p>
        </w:tc>
      </w:tr>
      <w:tr w:rsidR="00675BB6" w:rsidRPr="00A42530" w14:paraId="3F980154"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0EC92EC0"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57133E5C" w14:textId="77777777" w:rsidR="00675BB6" w:rsidRPr="00A42530" w:rsidRDefault="00675BB6" w:rsidP="00AD2763">
            <w:pPr>
              <w:spacing w:line="240" w:lineRule="auto"/>
            </w:pP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84C3B9F" w14:textId="77777777" w:rsidR="00675BB6" w:rsidRPr="00A42530" w:rsidRDefault="00675BB6" w:rsidP="00AD2763">
            <w:pPr>
              <w:spacing w:line="240" w:lineRule="auto"/>
            </w:pPr>
            <w:r w:rsidRPr="00A42530">
              <w:t>Reviews have different ratings: use rating from review most relied upon in the summary</w:t>
            </w:r>
          </w:p>
        </w:tc>
      </w:tr>
      <w:tr w:rsidR="00675BB6" w:rsidRPr="00A42530" w14:paraId="2293641D"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4577C0B1"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E282397" w14:textId="77777777" w:rsidR="00675BB6" w:rsidRPr="00A42530" w:rsidRDefault="00675BB6" w:rsidP="00AD2763">
            <w:pPr>
              <w:spacing w:line="240" w:lineRule="auto"/>
            </w:pP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4EA10CE" w14:textId="77777777" w:rsidR="00675BB6" w:rsidRPr="00A42530" w:rsidRDefault="00675BB6" w:rsidP="00AD2763">
            <w:pPr>
              <w:spacing w:line="240" w:lineRule="auto"/>
            </w:pPr>
            <w:r w:rsidRPr="00A42530">
              <w:t xml:space="preserve"> Plus mark down one rating if review findings not consistent</w:t>
            </w:r>
          </w:p>
        </w:tc>
      </w:tr>
      <w:tr w:rsidR="00675BB6" w:rsidRPr="00A42530" w14:paraId="3849F2DE"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0B7465A2" w14:textId="77777777" w:rsidR="00675BB6" w:rsidRPr="00A42530" w:rsidRDefault="00675BB6" w:rsidP="00AD2763">
            <w:pPr>
              <w:spacing w:line="240" w:lineRule="auto"/>
            </w:pPr>
            <w:r w:rsidRPr="00A42530">
              <w:t>Large n studies</w:t>
            </w: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B6BBB11" w14:textId="77777777" w:rsidR="00675BB6" w:rsidRPr="00A42530" w:rsidRDefault="00675BB6" w:rsidP="00AD2763">
            <w:pPr>
              <w:spacing w:line="240" w:lineRule="auto"/>
            </w:pPr>
            <w:r w:rsidRPr="00A42530">
              <w:t>All studies rated low</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EF42C08" w14:textId="77777777" w:rsidR="00675BB6" w:rsidRPr="00A42530" w:rsidRDefault="00675BB6" w:rsidP="00AD2763">
            <w:pPr>
              <w:spacing w:line="240" w:lineRule="auto"/>
            </w:pPr>
            <w:r w:rsidRPr="00A42530">
              <w:t>Rate low</w:t>
            </w:r>
          </w:p>
        </w:tc>
      </w:tr>
      <w:tr w:rsidR="00675BB6" w:rsidRPr="00A42530" w14:paraId="2E34A3E3"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07F6FED3"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99AA5C4" w14:textId="77777777" w:rsidR="00675BB6" w:rsidRPr="00A42530" w:rsidRDefault="00675BB6" w:rsidP="00AD2763">
            <w:pPr>
              <w:spacing w:line="240" w:lineRule="auto"/>
            </w:pPr>
            <w:r w:rsidRPr="00A42530">
              <w:t>Fewer than 4 studies</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CD62420" w14:textId="77777777" w:rsidR="00675BB6" w:rsidRPr="00A42530" w:rsidRDefault="00675BB6" w:rsidP="00AD2763">
            <w:pPr>
              <w:spacing w:line="240" w:lineRule="auto"/>
            </w:pPr>
            <w:r w:rsidRPr="00A42530">
              <w:t>Rate low</w:t>
            </w:r>
          </w:p>
        </w:tc>
      </w:tr>
      <w:tr w:rsidR="00675BB6" w:rsidRPr="00A42530" w14:paraId="2D6C4F95"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34800126"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DB8E5CC" w14:textId="77777777" w:rsidR="00675BB6" w:rsidRPr="00A42530" w:rsidRDefault="00675BB6" w:rsidP="00AD2763">
            <w:pPr>
              <w:spacing w:line="240" w:lineRule="auto"/>
            </w:pPr>
            <w:r w:rsidRPr="00A42530">
              <w:t>4-7 studies</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29549888" w14:textId="77777777" w:rsidR="00675BB6" w:rsidRPr="00A42530" w:rsidRDefault="00675BB6" w:rsidP="00AD2763">
            <w:pPr>
              <w:spacing w:line="240" w:lineRule="auto"/>
            </w:pPr>
            <w:r w:rsidRPr="00A42530">
              <w:t>Medium</w:t>
            </w:r>
          </w:p>
        </w:tc>
      </w:tr>
      <w:tr w:rsidR="00675BB6" w:rsidRPr="00A42530" w14:paraId="748C4A7D"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2F35C71E"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D24A862" w14:textId="77777777" w:rsidR="00675BB6" w:rsidRPr="00A42530" w:rsidRDefault="00675BB6" w:rsidP="00AD2763">
            <w:pPr>
              <w:spacing w:line="240" w:lineRule="auto"/>
            </w:pPr>
            <w:r w:rsidRPr="00A42530">
              <w:t>8 or more</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25C9350" w14:textId="77777777" w:rsidR="00675BB6" w:rsidRPr="00A42530" w:rsidRDefault="00675BB6" w:rsidP="00AD2763">
            <w:pPr>
              <w:spacing w:line="240" w:lineRule="auto"/>
            </w:pPr>
            <w:r w:rsidRPr="00A42530">
              <w:t>High</w:t>
            </w:r>
          </w:p>
        </w:tc>
      </w:tr>
      <w:tr w:rsidR="00675BB6" w:rsidRPr="00A42530" w14:paraId="4234F336"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451282DD"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2333006" w14:textId="77777777" w:rsidR="00675BB6" w:rsidRPr="00A42530" w:rsidRDefault="00675BB6" w:rsidP="00AD2763">
            <w:pPr>
              <w:spacing w:line="240" w:lineRule="auto"/>
            </w:pP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30C64AEB" w14:textId="77777777" w:rsidR="00675BB6" w:rsidRPr="00A42530" w:rsidRDefault="00675BB6" w:rsidP="00AD2763">
            <w:pPr>
              <w:spacing w:line="240" w:lineRule="auto"/>
            </w:pPr>
            <w:r w:rsidRPr="00A42530">
              <w:t xml:space="preserve">   Plus mark down rating if majority of studies not rated high</w:t>
            </w:r>
          </w:p>
        </w:tc>
      </w:tr>
      <w:tr w:rsidR="00675BB6" w:rsidRPr="00A42530" w14:paraId="0D2997CA"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0463304B"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6C406045" w14:textId="77777777" w:rsidR="00675BB6" w:rsidRPr="00A42530" w:rsidRDefault="00675BB6" w:rsidP="00AD2763">
            <w:pPr>
              <w:spacing w:line="240" w:lineRule="auto"/>
            </w:pP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7CBA2BA7" w14:textId="77777777" w:rsidR="00675BB6" w:rsidRPr="00A42530" w:rsidRDefault="00675BB6" w:rsidP="00AD2763">
            <w:pPr>
              <w:spacing w:line="240" w:lineRule="auto"/>
            </w:pPr>
            <w:r w:rsidRPr="00A42530">
              <w:t xml:space="preserve">   Plus mark down one rating if review findings not consistent</w:t>
            </w:r>
          </w:p>
        </w:tc>
      </w:tr>
      <w:tr w:rsidR="00675BB6" w:rsidRPr="00A42530" w14:paraId="599F9996"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0FB0C613" w14:textId="77777777" w:rsidR="00675BB6" w:rsidRPr="00A42530" w:rsidRDefault="00675BB6" w:rsidP="00AD2763">
            <w:pPr>
              <w:spacing w:line="240" w:lineRule="auto"/>
            </w:pPr>
            <w:r w:rsidRPr="00A42530">
              <w:t>Small n</w:t>
            </w: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BAB8865" w14:textId="77777777" w:rsidR="00675BB6" w:rsidRPr="00A42530" w:rsidRDefault="00675BB6" w:rsidP="00AD2763">
            <w:pPr>
              <w:spacing w:line="240" w:lineRule="auto"/>
            </w:pPr>
            <w:r w:rsidRPr="00A42530">
              <w:t>Low confidence</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E9C34BA" w14:textId="77777777" w:rsidR="00675BB6" w:rsidRPr="00A42530" w:rsidRDefault="00675BB6" w:rsidP="00AD2763">
            <w:pPr>
              <w:spacing w:line="240" w:lineRule="auto"/>
            </w:pPr>
          </w:p>
        </w:tc>
      </w:tr>
      <w:tr w:rsidR="00675BB6" w:rsidRPr="00A42530" w14:paraId="6B8E2899"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5AD3FD69" w14:textId="77777777" w:rsidR="00675BB6" w:rsidRPr="00A42530" w:rsidRDefault="00675BB6" w:rsidP="00AD2763">
            <w:pPr>
              <w:spacing w:line="240" w:lineRule="auto"/>
            </w:pPr>
            <w:r w:rsidRPr="00A42530">
              <w:t>Assessing consistency</w:t>
            </w: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11AD90E5" w14:textId="77777777" w:rsidR="00675BB6" w:rsidRPr="00A42530" w:rsidRDefault="00675BB6" w:rsidP="00AD2763">
            <w:pPr>
              <w:spacing w:line="240" w:lineRule="auto"/>
            </w:pPr>
            <w:r w:rsidRPr="00A42530">
              <w:t>Consistent</w:t>
            </w: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4A9C5C4F" w14:textId="77777777" w:rsidR="00675BB6" w:rsidRPr="00A42530" w:rsidRDefault="00675BB6" w:rsidP="00AD2763">
            <w:pPr>
              <w:spacing w:line="240" w:lineRule="auto"/>
            </w:pPr>
            <w:r w:rsidRPr="00A42530">
              <w:t>All study-level effect sizes for the outcome in same effect band</w:t>
            </w:r>
          </w:p>
        </w:tc>
      </w:tr>
      <w:tr w:rsidR="00675BB6" w:rsidRPr="00A42530" w14:paraId="7C82FDA8" w14:textId="77777777" w:rsidTr="00AD2763">
        <w:trPr>
          <w:trHeight w:val="285"/>
        </w:trPr>
        <w:tc>
          <w:tcPr>
            <w:tcW w:w="1634"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bottom"/>
          </w:tcPr>
          <w:p w14:paraId="47B876FC" w14:textId="77777777" w:rsidR="00675BB6" w:rsidRPr="00A42530" w:rsidRDefault="00675BB6" w:rsidP="00AD2763">
            <w:pPr>
              <w:spacing w:line="240" w:lineRule="auto"/>
            </w:pPr>
          </w:p>
        </w:tc>
        <w:tc>
          <w:tcPr>
            <w:tcW w:w="1564"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AB96FB3" w14:textId="77777777" w:rsidR="00675BB6" w:rsidRPr="00A42530" w:rsidRDefault="00675BB6" w:rsidP="00AD2763">
            <w:pPr>
              <w:spacing w:line="240" w:lineRule="auto"/>
            </w:pPr>
          </w:p>
        </w:tc>
        <w:tc>
          <w:tcPr>
            <w:tcW w:w="6066" w:type="dxa"/>
            <w:tcBorders>
              <w:top w:val="nil"/>
              <w:left w:val="nil"/>
              <w:bottom w:val="single" w:sz="5" w:space="0" w:color="000000"/>
              <w:right w:val="single" w:sz="5" w:space="0" w:color="000000"/>
            </w:tcBorders>
            <w:tcMar>
              <w:top w:w="0" w:type="dxa"/>
              <w:left w:w="100" w:type="dxa"/>
              <w:bottom w:w="0" w:type="dxa"/>
              <w:right w:w="100" w:type="dxa"/>
            </w:tcMar>
            <w:vAlign w:val="bottom"/>
          </w:tcPr>
          <w:p w14:paraId="06FEEAD1" w14:textId="77777777" w:rsidR="00675BB6" w:rsidRPr="00A42530" w:rsidRDefault="00675BB6" w:rsidP="00AD2763">
            <w:pPr>
              <w:spacing w:line="240" w:lineRule="auto"/>
            </w:pPr>
            <w:r w:rsidRPr="00A42530">
              <w:t>OR All study effect sizes are within +/- 0.1 of each other</w:t>
            </w:r>
          </w:p>
        </w:tc>
      </w:tr>
    </w:tbl>
    <w:p w14:paraId="484A1CE7" w14:textId="77777777" w:rsidR="00675BB6" w:rsidRPr="00A42530" w:rsidRDefault="00675BB6" w:rsidP="00675BB6">
      <w:pPr>
        <w:pStyle w:val="Heading3"/>
        <w:rPr>
          <w:b/>
          <w:color w:val="000000"/>
          <w:sz w:val="24"/>
          <w:szCs w:val="24"/>
        </w:rPr>
      </w:pPr>
      <w:bookmarkStart w:id="20" w:name="_i7lttga5iwc" w:colFirst="0" w:colLast="0"/>
      <w:bookmarkStart w:id="21" w:name="_olfzwm1no374" w:colFirst="0" w:colLast="0"/>
      <w:bookmarkStart w:id="22" w:name="_Toc193464430"/>
      <w:bookmarkEnd w:id="20"/>
      <w:bookmarkEnd w:id="21"/>
      <w:r w:rsidRPr="00A42530">
        <w:rPr>
          <w:b/>
          <w:color w:val="000000"/>
          <w:sz w:val="24"/>
          <w:szCs w:val="24"/>
        </w:rPr>
        <w:t>Analyses</w:t>
      </w:r>
      <w:bookmarkEnd w:id="22"/>
    </w:p>
    <w:p w14:paraId="5E43A1F5" w14:textId="77777777" w:rsidR="00675BB6" w:rsidRDefault="00675BB6" w:rsidP="00675BB6">
      <w:pPr>
        <w:spacing w:before="240" w:afterLines="80" w:after="192" w:line="312" w:lineRule="auto"/>
      </w:pPr>
      <w:r w:rsidRPr="00A42530">
        <w:t>We carried out descriptive analyses to understand the distribution of studies by a range of factors in order to answer our research questions. This included an analysis of the overall evidence base by population, intervention and outcome categories. We also examined the distribution of evidence by region, publication year, and whether the aim of the intervention was to prevent violent conflict (CP); to prevent atrocities (AP) or an implicit mix of preventing both (AP/CP).</w:t>
      </w:r>
    </w:p>
    <w:p w14:paraId="63A91E40" w14:textId="77777777" w:rsidR="00675BB6" w:rsidRDefault="00675BB6" w:rsidP="00675BB6">
      <w:pPr>
        <w:spacing w:before="240" w:afterLines="80" w:after="192" w:line="312" w:lineRule="auto"/>
      </w:pPr>
      <w:r>
        <w:t xml:space="preserve">In the extension project, we will prepare cell-wise summaries for the Evidence Gap Map (EGM). Each cell will feature a cell summary displayed directly within the EGM, </w:t>
      </w:r>
      <w:r w:rsidRPr="008F2788">
        <w:t>which appears in the EGM as the top record for the respective cell</w:t>
      </w:r>
      <w:r>
        <w:t>. Additionally, a more detailed summary will be accessible via a downloadable link provided at the end of the short summary.</w:t>
      </w:r>
    </w:p>
    <w:p w14:paraId="69FA6CD1" w14:textId="77777777" w:rsidR="00675BB6" w:rsidRDefault="00675BB6" w:rsidP="00675BB6">
      <w:pPr>
        <w:spacing w:before="240" w:afterLines="80" w:after="192" w:line="312" w:lineRule="auto"/>
        <w:rPr>
          <w:b/>
          <w:bCs/>
        </w:rPr>
      </w:pPr>
      <w:r>
        <w:t xml:space="preserve">We follow the following the rules for cellwise summaries: </w:t>
      </w:r>
    </w:p>
    <w:p w14:paraId="472D7986" w14:textId="77777777" w:rsidR="00675BB6" w:rsidRPr="008F2788" w:rsidRDefault="00675BB6" w:rsidP="00675BB6">
      <w:pPr>
        <w:pStyle w:val="ListParagraph"/>
        <w:numPr>
          <w:ilvl w:val="0"/>
          <w:numId w:val="2"/>
        </w:numPr>
        <w:spacing w:before="240" w:afterLines="80" w:after="192" w:line="312" w:lineRule="auto"/>
      </w:pPr>
      <w:r w:rsidRPr="008F2788">
        <w:lastRenderedPageBreak/>
        <w:t>Cell has only reviews – write summary based on reviews.</w:t>
      </w:r>
    </w:p>
    <w:p w14:paraId="369BDD3A" w14:textId="77777777" w:rsidR="00675BB6" w:rsidRPr="008F2788" w:rsidRDefault="00675BB6" w:rsidP="00675BB6">
      <w:pPr>
        <w:pStyle w:val="ListParagraph"/>
        <w:numPr>
          <w:ilvl w:val="0"/>
          <w:numId w:val="2"/>
        </w:numPr>
        <w:spacing w:after="160" w:line="259" w:lineRule="auto"/>
      </w:pPr>
      <w:r w:rsidRPr="008F2788">
        <w:t>Cell has reviews and qual studies</w:t>
      </w:r>
      <w:r w:rsidRPr="008F2788">
        <w:rPr>
          <w:b/>
          <w:bCs/>
        </w:rPr>
        <w:t xml:space="preserve"> - </w:t>
      </w:r>
      <w:r w:rsidRPr="008F2788">
        <w:t>write summary based on reviews</w:t>
      </w:r>
    </w:p>
    <w:p w14:paraId="1482C1DB" w14:textId="77777777" w:rsidR="00675BB6" w:rsidRPr="008F2788" w:rsidRDefault="00675BB6" w:rsidP="00675BB6">
      <w:pPr>
        <w:pStyle w:val="ListParagraph"/>
        <w:numPr>
          <w:ilvl w:val="0"/>
          <w:numId w:val="2"/>
        </w:numPr>
        <w:spacing w:after="160" w:line="259" w:lineRule="auto"/>
      </w:pPr>
      <w:r w:rsidRPr="008F2788">
        <w:t>Cell has reviews and quant studies – summarise both reviews and quant studies</w:t>
      </w:r>
    </w:p>
    <w:p w14:paraId="7753A27B" w14:textId="77777777" w:rsidR="00675BB6" w:rsidRPr="008F2788" w:rsidRDefault="00675BB6" w:rsidP="00675BB6">
      <w:pPr>
        <w:pStyle w:val="ListParagraph"/>
        <w:numPr>
          <w:ilvl w:val="0"/>
          <w:numId w:val="2"/>
        </w:numPr>
        <w:spacing w:after="160" w:line="259" w:lineRule="auto"/>
      </w:pPr>
      <w:r w:rsidRPr="008F2788">
        <w:t>Cell has quant studies only - summarise quant studies only</w:t>
      </w:r>
    </w:p>
    <w:p w14:paraId="5E8D442A" w14:textId="77777777" w:rsidR="00675BB6" w:rsidRPr="008F2788" w:rsidRDefault="00675BB6" w:rsidP="00675BB6">
      <w:pPr>
        <w:pStyle w:val="ListParagraph"/>
        <w:numPr>
          <w:ilvl w:val="0"/>
          <w:numId w:val="2"/>
        </w:numPr>
        <w:spacing w:after="160" w:line="259" w:lineRule="auto"/>
      </w:pPr>
      <w:r w:rsidRPr="008F2788">
        <w:t>Cell has only qual studies – summarise based on qual studies</w:t>
      </w:r>
    </w:p>
    <w:p w14:paraId="6C7CE648" w14:textId="77777777" w:rsidR="00675BB6" w:rsidRDefault="00675BB6" w:rsidP="00675BB6">
      <w:pPr>
        <w:spacing w:before="240" w:afterLines="80" w:after="192" w:line="312" w:lineRule="auto"/>
      </w:pPr>
    </w:p>
    <w:p w14:paraId="0E9B4EFF" w14:textId="77777777" w:rsidR="00675BB6" w:rsidRPr="00A42530" w:rsidRDefault="00675BB6" w:rsidP="00675BB6">
      <w:pPr>
        <w:pStyle w:val="Heading3"/>
        <w:rPr>
          <w:b/>
          <w:color w:val="000000"/>
          <w:sz w:val="24"/>
          <w:szCs w:val="24"/>
        </w:rPr>
      </w:pPr>
      <w:bookmarkStart w:id="23" w:name="_qigblfb7mvl8" w:colFirst="0" w:colLast="0"/>
      <w:bookmarkStart w:id="24" w:name="_Toc193464431"/>
      <w:bookmarkEnd w:id="23"/>
      <w:r w:rsidRPr="00A42530">
        <w:rPr>
          <w:b/>
          <w:color w:val="000000"/>
          <w:sz w:val="24"/>
          <w:szCs w:val="24"/>
        </w:rPr>
        <w:t>Presentation</w:t>
      </w:r>
      <w:bookmarkEnd w:id="24"/>
    </w:p>
    <w:p w14:paraId="3DE2C7B3" w14:textId="77324368" w:rsidR="0053227D" w:rsidRDefault="00675BB6" w:rsidP="00675BB6">
      <w:r w:rsidRPr="00A42530">
        <w:t>We generated the evidence and gap map</w:t>
      </w:r>
      <w:r>
        <w:t xml:space="preserve"> with the summaries</w:t>
      </w:r>
      <w:r w:rsidRPr="00A42530">
        <w:t>. Filters are available for country, design and other coded variables. The map was generated using EPPI-Mapper, a specialised EGM app commissioned by the Campbell Collaboration which uses the data exported from EPPI-Reviewer.  We have merged the relevant intervention and outcome categories (Annexure-</w:t>
      </w:r>
      <w:r>
        <w:t xml:space="preserve"> 2</w:t>
      </w:r>
      <w:r w:rsidRPr="00A42530">
        <w:t>)</w:t>
      </w:r>
    </w:p>
    <w:sectPr w:rsidR="00532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2EF"/>
    <w:multiLevelType w:val="hybridMultilevel"/>
    <w:tmpl w:val="A2A8A0BA"/>
    <w:lvl w:ilvl="0" w:tplc="F93E762A">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14BF0"/>
    <w:multiLevelType w:val="hybridMultilevel"/>
    <w:tmpl w:val="016C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471463">
    <w:abstractNumId w:val="0"/>
  </w:num>
  <w:num w:numId="2" w16cid:durableId="151587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C2"/>
    <w:rsid w:val="001357C2"/>
    <w:rsid w:val="0053227D"/>
    <w:rsid w:val="00675BB6"/>
    <w:rsid w:val="006E5FD2"/>
    <w:rsid w:val="00A7670F"/>
    <w:rsid w:val="00A84B7C"/>
    <w:rsid w:val="00AC0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7E008"/>
  <w15:chartTrackingRefBased/>
  <w15:docId w15:val="{A9CBACE3-4D56-4F5C-A574-FC508FF7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BB6"/>
    <w:pPr>
      <w:spacing w:after="0" w:line="276" w:lineRule="auto"/>
    </w:pPr>
    <w:rPr>
      <w:rFonts w:ascii="Arial" w:eastAsia="Arial" w:hAnsi="Arial" w:cs="Arial"/>
      <w:kern w:val="0"/>
      <w:lang w:val="en-GB" w:eastAsia="en-IN"/>
      <w14:ligatures w14:val="none"/>
    </w:rPr>
  </w:style>
  <w:style w:type="paragraph" w:styleId="Heading1">
    <w:name w:val="heading 1"/>
    <w:basedOn w:val="Normal"/>
    <w:next w:val="Normal"/>
    <w:link w:val="Heading1Char"/>
    <w:uiPriority w:val="9"/>
    <w:qFormat/>
    <w:rsid w:val="00135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5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5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5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5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C2"/>
    <w:rPr>
      <w:rFonts w:eastAsiaTheme="majorEastAsia" w:cstheme="majorBidi"/>
      <w:color w:val="272727" w:themeColor="text1" w:themeTint="D8"/>
    </w:rPr>
  </w:style>
  <w:style w:type="paragraph" w:styleId="Title">
    <w:name w:val="Title"/>
    <w:basedOn w:val="Normal"/>
    <w:next w:val="Normal"/>
    <w:link w:val="TitleChar"/>
    <w:uiPriority w:val="10"/>
    <w:qFormat/>
    <w:rsid w:val="0013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C2"/>
    <w:pPr>
      <w:spacing w:before="160"/>
      <w:jc w:val="center"/>
    </w:pPr>
    <w:rPr>
      <w:i/>
      <w:iCs/>
      <w:color w:val="404040" w:themeColor="text1" w:themeTint="BF"/>
    </w:rPr>
  </w:style>
  <w:style w:type="character" w:customStyle="1" w:styleId="QuoteChar">
    <w:name w:val="Quote Char"/>
    <w:basedOn w:val="DefaultParagraphFont"/>
    <w:link w:val="Quote"/>
    <w:uiPriority w:val="29"/>
    <w:rsid w:val="001357C2"/>
    <w:rPr>
      <w:i/>
      <w:iCs/>
      <w:color w:val="404040" w:themeColor="text1" w:themeTint="BF"/>
    </w:rPr>
  </w:style>
  <w:style w:type="paragraph" w:styleId="ListParagraph">
    <w:name w:val="List Paragraph"/>
    <w:basedOn w:val="Normal"/>
    <w:uiPriority w:val="34"/>
    <w:qFormat/>
    <w:rsid w:val="001357C2"/>
    <w:pPr>
      <w:ind w:left="720"/>
      <w:contextualSpacing/>
    </w:pPr>
  </w:style>
  <w:style w:type="character" w:styleId="IntenseEmphasis">
    <w:name w:val="Intense Emphasis"/>
    <w:basedOn w:val="DefaultParagraphFont"/>
    <w:uiPriority w:val="21"/>
    <w:qFormat/>
    <w:rsid w:val="001357C2"/>
    <w:rPr>
      <w:i/>
      <w:iCs/>
      <w:color w:val="2F5496" w:themeColor="accent1" w:themeShade="BF"/>
    </w:rPr>
  </w:style>
  <w:style w:type="paragraph" w:styleId="IntenseQuote">
    <w:name w:val="Intense Quote"/>
    <w:basedOn w:val="Normal"/>
    <w:next w:val="Normal"/>
    <w:link w:val="IntenseQuoteChar"/>
    <w:uiPriority w:val="30"/>
    <w:qFormat/>
    <w:rsid w:val="00135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7C2"/>
    <w:rPr>
      <w:i/>
      <w:iCs/>
      <w:color w:val="2F5496" w:themeColor="accent1" w:themeShade="BF"/>
    </w:rPr>
  </w:style>
  <w:style w:type="character" w:styleId="IntenseReference">
    <w:name w:val="Intense Reference"/>
    <w:basedOn w:val="DefaultParagraphFont"/>
    <w:uiPriority w:val="32"/>
    <w:qFormat/>
    <w:rsid w:val="00135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8929</Characters>
  <Application>Microsoft Office Word</Application>
  <DocSecurity>0</DocSecurity>
  <Lines>175</Lines>
  <Paragraphs>52</Paragraphs>
  <ScaleCrop>false</ScaleCrop>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Sahithya Novel</dc:creator>
  <cp:keywords/>
  <dc:description/>
  <cp:lastModifiedBy>Sahithya Novel</cp:lastModifiedBy>
  <cp:revision>2</cp:revision>
  <dcterms:created xsi:type="dcterms:W3CDTF">2025-04-04T08:03:00Z</dcterms:created>
  <dcterms:modified xsi:type="dcterms:W3CDTF">2025-04-04T08:03:00Z</dcterms:modified>
</cp:coreProperties>
</file>